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cs="宋体"/>
          <w:b/>
          <w:bCs/>
          <w:i w:val="0"/>
          <w:iCs w:val="0"/>
          <w:color w:val="auto"/>
          <w:w w:val="80"/>
          <w:sz w:val="72"/>
          <w:szCs w:val="72"/>
          <w:highlight w:val="none"/>
          <w:lang w:val="zh-CN"/>
        </w:rPr>
        <w:t>江西固诚工程咨询有限公司</w:t>
      </w: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2"/>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上饶市城投能源环保有限公司通用备件采购项目</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JXGC-2022-031</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江西固诚工程咨询有限公司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3"/>
        <w:outlineLvl w:val="9"/>
        <w:rPr>
          <w:rFonts w:hint="eastAsia" w:ascii="宋体" w:hAnsi="宋体" w:eastAsia="宋体" w:cs="宋体"/>
          <w:b/>
          <w:bCs/>
          <w:i w:val="0"/>
          <w:iCs w:val="0"/>
          <w:color w:val="auto"/>
          <w:sz w:val="28"/>
          <w:highlight w:val="none"/>
          <w:u w:val="none"/>
        </w:rPr>
      </w:pPr>
    </w:p>
    <w:p>
      <w:pPr>
        <w:pStyle w:val="13"/>
        <w:outlineLvl w:val="9"/>
        <w:rPr>
          <w:rFonts w:hint="eastAsia" w:ascii="宋体" w:hAnsi="宋体" w:eastAsia="宋体" w:cs="宋体"/>
          <w:b/>
          <w:bCs/>
          <w:i w:val="0"/>
          <w:iCs w:val="0"/>
          <w:color w:val="auto"/>
          <w:sz w:val="28"/>
          <w:highlight w:val="none"/>
          <w:u w:val="none"/>
        </w:rPr>
      </w:pPr>
    </w:p>
    <w:p>
      <w:pPr>
        <w:pStyle w:val="13"/>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2"/>
        <w:rPr>
          <w:rFonts w:hint="eastAsia" w:ascii="宋体" w:hAnsi="宋体" w:eastAsia="宋体" w:cs="宋体"/>
          <w:i w:val="0"/>
          <w:iCs w:val="0"/>
          <w:color w:val="auto"/>
          <w:sz w:val="84"/>
          <w:szCs w:val="84"/>
          <w:highlight w:val="none"/>
        </w:rPr>
      </w:pPr>
    </w:p>
    <w:p>
      <w:pPr>
        <w:pStyle w:val="2"/>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2"/>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-80-</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-82-</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-93-</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上饶市城投能源环保有限公司通用备件采购项目</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2022</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10</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25</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none"/>
          <w:lang w:val="en-US" w:eastAsia="zh-CN"/>
        </w:rPr>
        <w:t xml:space="preserve"> 09</w:t>
      </w:r>
      <w:r>
        <w:rPr>
          <w:rFonts w:hint="eastAsia" w:ascii="宋体" w:hAnsi="宋体" w:eastAsia="宋体" w:cs="宋体"/>
          <w:b w:val="0"/>
          <w:color w:val="auto"/>
          <w:sz w:val="24"/>
          <w:szCs w:val="24"/>
          <w:highlight w:val="none"/>
          <w:lang w:eastAsia="zh-CN"/>
        </w:rPr>
        <w:t>点</w:t>
      </w:r>
      <w:r>
        <w:rPr>
          <w:rFonts w:hint="eastAsia" w:ascii="宋体" w:hAnsi="宋体" w:eastAsia="宋体" w:cs="宋体"/>
          <w:b w:val="0"/>
          <w:color w:val="auto"/>
          <w:sz w:val="24"/>
          <w:szCs w:val="24"/>
          <w:highlight w:val="none"/>
          <w:lang w:val="en-US" w:eastAsia="zh-CN"/>
        </w:rPr>
        <w:t>00</w:t>
      </w:r>
      <w:r>
        <w:rPr>
          <w:rFonts w:hint="eastAsia" w:ascii="宋体" w:hAnsi="宋体" w:eastAsia="宋体" w:cs="宋体"/>
          <w:b w:val="0"/>
          <w:color w:val="auto"/>
          <w:sz w:val="24"/>
          <w:szCs w:val="24"/>
          <w:highlight w:val="non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上饶市阳光采购服务平台3楼（上饶大道青蓝国际西北侧约100米上饶天恒汽车隔壁1号楼）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上饶市城投能源环保有限公司通用备件采购项目</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项目类别:货物类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上饶市城投能源环保有限公司通用备件采购项目（</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eastAsia="宋体" w:cs="宋体"/>
          <w:color w:val="auto"/>
          <w:kern w:val="0"/>
          <w:sz w:val="24"/>
          <w:szCs w:val="24"/>
          <w:highlight w:val="none"/>
          <w:lang w:val="en-US" w:eastAsia="zh-CN" w:bidi="ar"/>
        </w:rPr>
        <w:t>单价合计金额：773063元；两年供货金额：约</w:t>
      </w:r>
      <w:r>
        <w:rPr>
          <w:rFonts w:hint="eastAsia" w:ascii="宋体" w:hAnsi="宋体" w:cs="宋体"/>
          <w:color w:val="auto"/>
          <w:kern w:val="0"/>
          <w:sz w:val="24"/>
          <w:szCs w:val="24"/>
          <w:highlight w:val="none"/>
          <w:lang w:val="en-US" w:eastAsia="zh-CN" w:bidi="ar"/>
        </w:rPr>
        <w:t>160</w:t>
      </w:r>
      <w:r>
        <w:rPr>
          <w:rFonts w:hint="eastAsia" w:ascii="宋体" w:hAnsi="宋体" w:eastAsia="宋体" w:cs="宋体"/>
          <w:color w:val="auto"/>
          <w:kern w:val="0"/>
          <w:sz w:val="24"/>
          <w:szCs w:val="24"/>
          <w:highlight w:val="none"/>
          <w:lang w:val="en-US" w:eastAsia="zh-CN" w:bidi="ar"/>
        </w:rPr>
        <w:t>万元。</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注：1、</w:t>
      </w:r>
      <w:r>
        <w:rPr>
          <w:rFonts w:hint="eastAsia" w:ascii="宋体" w:hAnsi="宋体" w:cs="宋体"/>
          <w:b/>
          <w:bCs/>
          <w:kern w:val="0"/>
          <w:sz w:val="24"/>
          <w:lang w:bidi="ar"/>
        </w:rPr>
        <w:t>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2、本</w:t>
      </w:r>
      <w:r>
        <w:rPr>
          <w:rFonts w:hint="eastAsia" w:ascii="宋体" w:hAnsi="宋体" w:cs="宋体"/>
          <w:b/>
          <w:bCs/>
          <w:color w:val="auto"/>
          <w:kern w:val="0"/>
          <w:sz w:val="24"/>
          <w:szCs w:val="24"/>
          <w:highlight w:val="none"/>
          <w:lang w:val="en-US" w:eastAsia="zh-CN" w:bidi="ar"/>
        </w:rPr>
        <w:t>报价包含保养费、材料费、运输费、起吊费、验收费、保险费、管理费、利润、税金等一切费用。</w:t>
      </w:r>
      <w:r>
        <w:rPr>
          <w:rFonts w:hint="eastAsia" w:ascii="宋体" w:hAnsi="宋体" w:cs="宋体"/>
          <w:color w:val="auto"/>
          <w:kern w:val="0"/>
          <w:sz w:val="24"/>
          <w:szCs w:val="24"/>
          <w:highlight w:val="none"/>
          <w:lang w:val="en-US" w:eastAsia="zh-CN" w:bidi="ar"/>
        </w:rPr>
        <w:t>）</w:t>
      </w:r>
    </w:p>
    <w:p>
      <w:pPr>
        <w:pStyle w:val="2"/>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6、供货期限：两年。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1"/>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1"/>
          <w:rFonts w:hint="eastAsia" w:ascii="宋体" w:hAnsi="宋体" w:eastAsia="宋体" w:cs="宋体"/>
          <w:b/>
          <w:bCs/>
          <w:i w:val="0"/>
          <w:iCs w:val="0"/>
          <w:caps w:val="0"/>
          <w:color w:val="auto"/>
          <w:spacing w:val="0"/>
          <w:sz w:val="24"/>
          <w:szCs w:val="24"/>
          <w:highlight w:val="none"/>
          <w:shd w:val="clear" w:color="auto" w:fill="FFFFFF"/>
        </w:rPr>
        <w:t>资格</w:t>
      </w:r>
      <w:r>
        <w:rPr>
          <w:rStyle w:val="11"/>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2"/>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2、采购文件领取截止时间：2022-</w:t>
      </w:r>
      <w:r>
        <w:rPr>
          <w:rFonts w:hint="eastAsia" w:cs="宋体"/>
          <w:kern w:val="0"/>
          <w:sz w:val="24"/>
          <w:szCs w:val="24"/>
          <w:lang w:val="en-US" w:eastAsia="zh-CN"/>
        </w:rPr>
        <w:t>10</w:t>
      </w:r>
      <w:r>
        <w:rPr>
          <w:rFonts w:hint="eastAsia" w:ascii="宋体" w:hAnsi="宋体" w:cs="宋体"/>
          <w:kern w:val="0"/>
          <w:sz w:val="24"/>
          <w:szCs w:val="24"/>
          <w:lang w:val="en-US" w:eastAsia="zh-CN"/>
        </w:rPr>
        <w:t>-</w:t>
      </w:r>
      <w:r>
        <w:rPr>
          <w:rFonts w:hint="eastAsia" w:cs="宋体"/>
          <w:kern w:val="0"/>
          <w:sz w:val="24"/>
          <w:szCs w:val="24"/>
          <w:lang w:val="en-US" w:eastAsia="zh-CN"/>
        </w:rPr>
        <w:t xml:space="preserve">9  </w:t>
      </w:r>
      <w:r>
        <w:rPr>
          <w:rFonts w:hint="eastAsia" w:ascii="宋体" w:hAnsi="宋体" w:cs="宋体"/>
          <w:kern w:val="0"/>
          <w:sz w:val="24"/>
          <w:szCs w:val="24"/>
          <w:lang w:val="en-US" w:eastAsia="zh-CN"/>
        </w:rPr>
        <w:t>20:00:00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2、递交截止时间：2022-</w:t>
      </w:r>
      <w:r>
        <w:rPr>
          <w:rFonts w:hint="eastAsia" w:cs="宋体"/>
          <w:kern w:val="0"/>
          <w:sz w:val="24"/>
          <w:szCs w:val="24"/>
          <w:lang w:val="en-US" w:eastAsia="zh-CN"/>
        </w:rPr>
        <w:t>10</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25  9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1"/>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1、开标时间：2022-</w:t>
      </w:r>
      <w:r>
        <w:rPr>
          <w:rFonts w:hint="eastAsia" w:cs="宋体"/>
          <w:kern w:val="0"/>
          <w:sz w:val="24"/>
          <w:szCs w:val="24"/>
          <w:lang w:val="en-US" w:eastAsia="zh-CN"/>
        </w:rPr>
        <w:t>10</w:t>
      </w:r>
      <w:r>
        <w:rPr>
          <w:rFonts w:hint="eastAsia" w:ascii="宋体" w:hAnsi="宋体" w:cs="宋体"/>
          <w:kern w:val="0"/>
          <w:sz w:val="24"/>
          <w:szCs w:val="24"/>
          <w:lang w:val="en-US" w:eastAsia="zh-CN"/>
        </w:rPr>
        <w:t>-</w:t>
      </w:r>
      <w:r>
        <w:rPr>
          <w:rFonts w:hint="eastAsia" w:cs="宋体"/>
          <w:kern w:val="0"/>
          <w:sz w:val="24"/>
          <w:szCs w:val="24"/>
          <w:lang w:val="en-US" w:eastAsia="zh-CN"/>
        </w:rPr>
        <w:t>25  9</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姜琦  18370033437</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江西固诚工程咨询有限公司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江西省上饶市信州区解放路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邓达</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18317939633</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邓达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18317939633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1"/>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2022年</w:t>
      </w:r>
      <w:r>
        <w:rPr>
          <w:rFonts w:hint="eastAsia" w:ascii="宋体" w:hAnsi="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9</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20</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3、开标注意事项：</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（1）到场人员必须持电子通行证（须显示为绿色）。</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可能根据江西省新型冠状病毒感染的肺炎疫情防控应急指挥部文件要求在开标当日入场前进行相关核查检，请投标人提前上网查询江西省新型冠状病毒感染的肺炎疫情防控应急指挥部最新文件及要求并提前准备。</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（4）上饶市阳光采购服务平台开标区域（含开标室等所有三楼区域）禁止吸烟，投标人不得在开标室及公共区域、楼道等各角落吸烟。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ind w:firstLine="482" w:firstLineChars="200"/>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5）本项目执行上饶市《关于开展常态化核酸检测服务工作的通告》文件精神，投标人进入公共场所（开标现场）需持48小时核酸检测阴性证明，对不遵守疫情防控规定、强行进入办公（场所）区域、扰乱办公（场所）秩序的人员，有权予以劝离，造成疫情传播扩散风险等严重后果的，将依法依规追究相关法律责任。</w:t>
      </w: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right="-105" w:rightChars="-50"/>
        <w:jc w:val="both"/>
        <w:textAlignment w:val="auto"/>
        <w:outlineLvl w:val="1"/>
        <w:rPr>
          <w:rFonts w:hint="eastAsia" w:ascii="宋体" w:hAnsi="宋体" w:eastAsia="宋体" w:cs="宋体"/>
          <w:b/>
          <w:bCs/>
          <w:i w:val="0"/>
          <w:iCs w:val="0"/>
          <w:color w:val="auto"/>
          <w:sz w:val="30"/>
          <w:szCs w:val="30"/>
          <w:highlight w:val="none"/>
        </w:rPr>
      </w:pPr>
    </w:p>
    <w:p>
      <w:pPr>
        <w:pStyle w:val="2"/>
        <w:rPr>
          <w:rFonts w:hint="eastAsia" w:ascii="宋体" w:hAnsi="宋体" w:eastAsia="宋体" w:cs="宋体"/>
          <w:b/>
          <w:bCs/>
          <w:i w:val="0"/>
          <w:iCs w:val="0"/>
          <w:color w:val="auto"/>
          <w:sz w:val="30"/>
          <w:szCs w:val="30"/>
          <w:highlight w:val="none"/>
        </w:rPr>
      </w:pPr>
    </w:p>
    <w:p>
      <w:pPr>
        <w:rPr>
          <w:rFonts w:hint="eastAsia"/>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9"/>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cs="宋体"/>
                <w:b w:val="0"/>
                <w:color w:val="auto"/>
                <w:sz w:val="24"/>
                <w:szCs w:val="24"/>
                <w:highlight w:val="none"/>
                <w:lang w:eastAsia="zh-CN"/>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cs="宋体"/>
                <w:i w:val="0"/>
                <w:iCs w:val="0"/>
                <w:color w:val="auto"/>
                <w:kern w:val="0"/>
                <w:sz w:val="24"/>
                <w:szCs w:val="24"/>
                <w:highlight w:val="none"/>
                <w:lang w:eastAsia="zh-CN" w:bidi="ar"/>
              </w:rPr>
              <w:t>上饶市城投能源环保有限公司</w:t>
            </w:r>
            <w:r>
              <w:rPr>
                <w:rFonts w:hint="eastAsia" w:ascii="宋体" w:hAnsi="宋体" w:cs="宋体"/>
                <w:b w:val="0"/>
                <w:color w:val="auto"/>
                <w:sz w:val="24"/>
                <w:szCs w:val="24"/>
                <w:highlight w:val="none"/>
                <w:lang w:eastAsia="zh-CN"/>
              </w:rPr>
              <w:t>通用备件采购项目</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JXGC-2022-031</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江西固诚工程咨询有限公司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江西省上饶市信州区解放路；</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邓达 18317939633</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质量</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叁万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30000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2022</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10</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25</w:t>
            </w:r>
            <w:r>
              <w:rPr>
                <w:rFonts w:hint="eastAsia" w:ascii="宋体" w:hAnsi="宋体" w:eastAsia="宋体" w:cs="宋体"/>
                <w:b w:val="0"/>
                <w:color w:val="auto"/>
                <w:sz w:val="24"/>
                <w:szCs w:val="24"/>
                <w:highlight w:val="none"/>
                <w:lang w:eastAsia="zh-CN"/>
              </w:rPr>
              <w:t>日</w:t>
            </w:r>
            <w:r>
              <w:rPr>
                <w:rFonts w:hint="eastAsia" w:ascii="宋体" w:hAnsi="宋体" w:cs="宋体"/>
                <w:bCs/>
                <w:i w:val="0"/>
                <w:iCs w:val="0"/>
                <w:color w:val="auto"/>
                <w:spacing w:val="4"/>
                <w:kern w:val="2"/>
                <w:sz w:val="24"/>
                <w:szCs w:val="24"/>
                <w:highlight w:val="none"/>
                <w:lang w:val="en-US" w:eastAsia="zh-CN" w:bidi="ar-SA"/>
              </w:rPr>
              <w:t>9：00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w:t>
            </w:r>
            <w:r>
              <w:rPr>
                <w:rFonts w:hint="eastAsia" w:ascii="宋体" w:hAnsi="宋体" w:cs="宋体"/>
                <w:color w:val="auto"/>
                <w:sz w:val="24"/>
                <w:szCs w:val="24"/>
                <w:highlight w:val="none"/>
                <w:lang w:val="en-US" w:eastAsia="zh-CN"/>
              </w:rPr>
              <w:t>2031 4330 0001 1054 98</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1、项目类别：货物类     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江西固诚工程咨询有限公司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投标保证金的退还按以下规定办理：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中标候选人公告之日起五个工作日内退还</w:t>
      </w:r>
      <w:r>
        <w:rPr>
          <w:rFonts w:hint="eastAsia" w:ascii="宋体" w:hAnsi="宋体" w:cs="宋体"/>
          <w:i w:val="0"/>
          <w:iCs w:val="0"/>
          <w:color w:val="auto"/>
          <w:kern w:val="0"/>
          <w:sz w:val="24"/>
          <w:szCs w:val="24"/>
          <w:highlight w:val="none"/>
          <w:lang w:val="en-US" w:eastAsia="zh-CN" w:bidi="ar"/>
        </w:rPr>
        <w:t>未中标</w:t>
      </w:r>
      <w:r>
        <w:rPr>
          <w:rFonts w:hint="eastAsia" w:ascii="宋体" w:hAnsi="宋体" w:eastAsia="宋体" w:cs="宋体"/>
          <w:i w:val="0"/>
          <w:iCs w:val="0"/>
          <w:color w:val="auto"/>
          <w:kern w:val="0"/>
          <w:sz w:val="24"/>
          <w:szCs w:val="24"/>
          <w:highlight w:val="none"/>
          <w:lang w:bidi="ar"/>
        </w:rPr>
        <w:t>供应商的</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bidi="ar"/>
        </w:rPr>
        <w:t>保证金；</w:t>
      </w:r>
      <w:r>
        <w:rPr>
          <w:rFonts w:hint="eastAsia" w:ascii="宋体" w:hAnsi="宋体" w:cs="宋体"/>
          <w:i w:val="0"/>
          <w:iCs w:val="0"/>
          <w:color w:val="auto"/>
          <w:kern w:val="0"/>
          <w:sz w:val="24"/>
          <w:szCs w:val="24"/>
          <w:highlight w:val="none"/>
          <w:lang w:val="en-US" w:eastAsia="zh-CN" w:bidi="ar"/>
        </w:rPr>
        <w:t>合同签订后三个工作日内退还中标人投标保证金，</w:t>
      </w:r>
      <w:r>
        <w:rPr>
          <w:rFonts w:hint="eastAsia" w:ascii="宋体" w:hAnsi="宋体" w:eastAsia="宋体" w:cs="宋体"/>
          <w:i w:val="0"/>
          <w:iCs w:val="0"/>
          <w:color w:val="auto"/>
          <w:kern w:val="0"/>
          <w:sz w:val="24"/>
          <w:szCs w:val="24"/>
          <w:highlight w:val="none"/>
          <w:lang w:bidi="ar"/>
        </w:rPr>
        <w:t>由于不可归责于中标人的原因导致未能签订合同的，应在采购人作出处理结果之日起五个工作日内退还中标人保证金。采购项目流标的，应在确定流标之日起五个工作日内退还剩余所有供应商的保证金</w:t>
      </w:r>
      <w:r>
        <w:rPr>
          <w:rFonts w:hint="eastAsia" w:ascii="宋体" w:hAnsi="宋体" w:eastAsia="宋体" w:cs="宋体"/>
          <w:i w:val="0"/>
          <w:iCs w:val="0"/>
          <w:color w:val="auto"/>
          <w:kern w:val="0"/>
          <w:sz w:val="24"/>
          <w:szCs w:val="24"/>
          <w:highlight w:val="none"/>
          <w:lang w:eastAsia="zh-CN" w:bidi="ar"/>
        </w:rPr>
        <w:t>，但因投标人自身原因导致无法及时退还的除外。</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须将以书面形式出具的“法定代表人授权书”附在投标文件中。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27.3 评分细则：</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527"/>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项目</w:t>
            </w:r>
          </w:p>
        </w:tc>
        <w:tc>
          <w:tcPr>
            <w:tcW w:w="773"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标准分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4</w:t>
            </w:r>
            <w:r>
              <w:rPr>
                <w:rFonts w:hint="eastAsia" w:ascii="宋体" w:hAnsi="宋体" w:cs="宋体"/>
                <w:kern w:val="0"/>
                <w:sz w:val="24"/>
                <w:lang w:bidi="ar"/>
              </w:rPr>
              <w:t>0分</w:t>
            </w: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4</w:t>
            </w:r>
            <w:r>
              <w:rPr>
                <w:rFonts w:hint="eastAsia" w:ascii="宋体" w:hAnsi="宋体" w:cs="宋体"/>
                <w:kern w:val="0"/>
                <w:sz w:val="24"/>
                <w:lang w:bidi="ar"/>
              </w:rPr>
              <w:t>0分）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价格分的计算:投标报价得分=(评标基准价/投标报价)×</w:t>
            </w:r>
            <w:r>
              <w:rPr>
                <w:rFonts w:hint="eastAsia" w:ascii="宋体" w:hAnsi="宋体" w:cs="宋体"/>
                <w:kern w:val="0"/>
                <w:sz w:val="24"/>
                <w:lang w:val="en-US" w:eastAsia="zh-CN" w:bidi="ar"/>
              </w:rPr>
              <w:t>4</w:t>
            </w:r>
            <w:r>
              <w:rPr>
                <w:rFonts w:hint="eastAsia" w:ascii="宋体" w:hAnsi="宋体" w:cs="宋体"/>
                <w:kern w:val="0"/>
                <w:sz w:val="24"/>
                <w:lang w:bidi="ar"/>
              </w:rPr>
              <w:t>0%×100（注：采用四舍五入的方法精确至小数点后二位）满足招标文件要求且投标价格最低的投标报价为评标基准价，其价格分为满分。</w:t>
            </w: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42</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基础分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20</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投标人须完全满足招标文件中的技术要求及商务要求。完全满足得</w:t>
            </w:r>
            <w:r>
              <w:rPr>
                <w:rFonts w:hint="eastAsia" w:ascii="宋体" w:hAnsi="宋体" w:cs="宋体"/>
                <w:kern w:val="0"/>
                <w:sz w:val="24"/>
                <w:lang w:val="en-US" w:eastAsia="zh-CN" w:bidi="ar"/>
              </w:rPr>
              <w:t>20</w:t>
            </w:r>
            <w:r>
              <w:rPr>
                <w:rFonts w:hint="eastAsia" w:ascii="宋体" w:hAnsi="宋体" w:cs="宋体"/>
                <w:kern w:val="0"/>
                <w:sz w:val="24"/>
                <w:lang w:bidi="ar"/>
              </w:rPr>
              <w:t>分， 一项不满足按无效投标处理。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评审依据：提供技术参数偏离表及商务偏离表加盖投标人公章</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技术响应</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10</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投标人承诺</w:t>
            </w:r>
            <w:r>
              <w:rPr>
                <w:rFonts w:hint="eastAsia" w:ascii="宋体" w:hAnsi="宋体" w:cs="宋体"/>
                <w:kern w:val="0"/>
                <w:sz w:val="24"/>
                <w:lang w:val="en-US" w:eastAsia="zh-CN" w:bidi="ar"/>
              </w:rPr>
              <w:t>接到业主通知后1</w:t>
            </w:r>
            <w:r>
              <w:rPr>
                <w:rFonts w:hint="eastAsia" w:ascii="宋体" w:hAnsi="宋体" w:cs="宋体"/>
                <w:kern w:val="0"/>
                <w:sz w:val="24"/>
                <w:lang w:bidi="ar"/>
              </w:rPr>
              <w:t>小时内货物送达现场的得</w:t>
            </w:r>
            <w:r>
              <w:rPr>
                <w:rFonts w:hint="eastAsia" w:ascii="宋体" w:hAnsi="宋体" w:cs="宋体"/>
                <w:kern w:val="0"/>
                <w:sz w:val="24"/>
                <w:lang w:val="en-US" w:eastAsia="zh-CN" w:bidi="ar"/>
              </w:rPr>
              <w:t>10</w:t>
            </w:r>
            <w:r>
              <w:rPr>
                <w:rFonts w:hint="eastAsia" w:ascii="宋体" w:hAnsi="宋体" w:cs="宋体"/>
                <w:kern w:val="0"/>
                <w:sz w:val="24"/>
                <w:lang w:bidi="ar"/>
              </w:rPr>
              <w:t>分，</w:t>
            </w:r>
            <w:r>
              <w:rPr>
                <w:rFonts w:hint="eastAsia" w:ascii="宋体" w:hAnsi="宋体" w:cs="宋体"/>
                <w:kern w:val="0"/>
                <w:sz w:val="24"/>
                <w:lang w:val="en-US" w:eastAsia="zh-CN" w:bidi="ar"/>
              </w:rPr>
              <w:t>6</w:t>
            </w:r>
            <w:r>
              <w:rPr>
                <w:rFonts w:hint="eastAsia" w:ascii="宋体" w:hAnsi="宋体" w:cs="宋体"/>
                <w:kern w:val="0"/>
                <w:sz w:val="24"/>
                <w:lang w:bidi="ar"/>
              </w:rPr>
              <w:t>小时内货物送达现场得</w:t>
            </w:r>
            <w:r>
              <w:rPr>
                <w:rFonts w:hint="eastAsia" w:ascii="宋体" w:hAnsi="宋体" w:cs="宋体"/>
                <w:kern w:val="0"/>
                <w:sz w:val="24"/>
                <w:lang w:val="en-US" w:eastAsia="zh-CN" w:bidi="ar"/>
              </w:rPr>
              <w:t>5</w:t>
            </w:r>
            <w:r>
              <w:rPr>
                <w:rFonts w:hint="eastAsia" w:ascii="宋体" w:hAnsi="宋体" w:cs="宋体"/>
                <w:kern w:val="0"/>
                <w:sz w:val="24"/>
                <w:lang w:bidi="ar"/>
              </w:rPr>
              <w:t>分，超过</w:t>
            </w:r>
            <w:r>
              <w:rPr>
                <w:rFonts w:hint="eastAsia" w:ascii="宋体" w:hAnsi="宋体" w:cs="宋体"/>
                <w:kern w:val="0"/>
                <w:sz w:val="24"/>
                <w:lang w:val="en-US" w:eastAsia="zh-CN" w:bidi="ar"/>
              </w:rPr>
              <w:t>12</w:t>
            </w:r>
            <w:r>
              <w:rPr>
                <w:rFonts w:hint="eastAsia" w:ascii="宋体" w:hAnsi="宋体" w:cs="宋体"/>
                <w:kern w:val="0"/>
                <w:sz w:val="24"/>
                <w:lang w:bidi="ar"/>
              </w:rPr>
              <w:t>小时货物送达现场得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（评分依据：提供承诺函原件及路线规划图加盖投标人公章进行佐证。注：若中标后该项将纳入合同主要条款。）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hint="eastAsia" w:ascii="宋体" w:hAnsi="宋体" w:cs="宋体"/>
                <w:kern w:val="0"/>
                <w:sz w:val="24"/>
                <w:lang w:val="en-US" w:eastAsia="zh-CN" w:bidi="ar"/>
              </w:rPr>
            </w:pPr>
          </w:p>
          <w:p>
            <w:pPr>
              <w:widowControl/>
              <w:spacing w:line="0" w:lineRule="atLeast"/>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服务方案</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（12分）</w:t>
            </w:r>
          </w:p>
        </w:tc>
        <w:tc>
          <w:tcPr>
            <w:tcW w:w="3680" w:type="pct"/>
            <w:vAlign w:val="top"/>
          </w:tcPr>
          <w:p>
            <w:pPr>
              <w:widowControl/>
              <w:spacing w:line="0" w:lineRule="atLeast"/>
              <w:jc w:val="left"/>
              <w:rPr>
                <w:rFonts w:hint="default" w:ascii="宋体" w:hAnsi="宋体" w:eastAsia="宋体" w:cs="宋体"/>
                <w:kern w:val="0"/>
                <w:sz w:val="24"/>
                <w:lang w:val="en-US" w:eastAsia="zh-CN" w:bidi="ar"/>
              </w:rPr>
            </w:pPr>
            <w:r>
              <w:rPr>
                <w:rFonts w:hint="eastAsia" w:ascii="宋体" w:hAnsi="宋体" w:eastAsia="宋体" w:cs="宋体"/>
                <w:kern w:val="0"/>
                <w:sz w:val="24"/>
                <w:lang w:val="en-US" w:eastAsia="zh-CN" w:bidi="ar"/>
              </w:rPr>
              <w:t>投标人提供的服务方案应包括质量保障、供货时间、突发状况应急方案等内容。服务方案内容中每有上述一项得</w:t>
            </w:r>
            <w:r>
              <w:rPr>
                <w:rFonts w:hint="eastAsia" w:ascii="宋体" w:hAnsi="宋体" w:cs="宋体"/>
                <w:kern w:val="0"/>
                <w:sz w:val="24"/>
                <w:lang w:val="en-US" w:eastAsia="zh-CN" w:bidi="ar"/>
              </w:rPr>
              <w:t>4</w:t>
            </w:r>
            <w:r>
              <w:rPr>
                <w:rFonts w:hint="eastAsia" w:ascii="宋体" w:hAnsi="宋体" w:eastAsia="宋体" w:cs="宋体"/>
                <w:kern w:val="0"/>
                <w:sz w:val="24"/>
                <w:lang w:val="en-US" w:eastAsia="zh-CN" w:bidi="ar"/>
              </w:rPr>
              <w:t>分，最多得1</w:t>
            </w:r>
            <w:r>
              <w:rPr>
                <w:rFonts w:hint="eastAsia" w:ascii="宋体" w:hAnsi="宋体" w:cs="宋体"/>
                <w:kern w:val="0"/>
                <w:sz w:val="24"/>
                <w:lang w:val="en-US" w:eastAsia="zh-CN" w:bidi="ar"/>
              </w:rPr>
              <w:t>2</w:t>
            </w:r>
            <w:r>
              <w:rPr>
                <w:rFonts w:hint="eastAsia" w:ascii="宋体" w:hAnsi="宋体" w:eastAsia="宋体" w:cs="宋体"/>
                <w:kern w:val="0"/>
                <w:sz w:val="24"/>
                <w:lang w:val="en-US" w:eastAsia="zh-CN" w:bidi="ar"/>
              </w:rPr>
              <w:t>分。</w:t>
            </w:r>
          </w:p>
          <w:p>
            <w:pPr>
              <w:rPr>
                <w:rFonts w:ascii="宋体" w:hAnsi="宋体" w:cs="宋体"/>
                <w:color w:val="0000FF"/>
                <w:kern w:val="0"/>
                <w:sz w:val="24"/>
                <w:lang w:bidi="ar"/>
              </w:rPr>
            </w:pPr>
            <w:r>
              <w:rPr>
                <w:rFonts w:hint="eastAsia" w:ascii="宋体" w:hAnsi="宋体" w:cs="宋体"/>
                <w:b/>
                <w:bCs/>
                <w:kern w:val="0"/>
                <w:sz w:val="24"/>
                <w:lang w:bidi="ar"/>
              </w:rPr>
              <w:t>（评分依据：</w:t>
            </w:r>
            <w:r>
              <w:rPr>
                <w:rFonts w:hint="eastAsia" w:ascii="宋体" w:hAnsi="宋体" w:cs="宋体"/>
                <w:b/>
                <w:bCs/>
                <w:kern w:val="0"/>
                <w:sz w:val="24"/>
                <w:lang w:val="en-US" w:eastAsia="zh-CN" w:bidi="ar"/>
              </w:rPr>
              <w:t>提供服务方案加盖投标人公章，未提供不得分。</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商务分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18</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企业荣誉</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3</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val="en-US" w:eastAsia="zh-CN" w:bidi="ar"/>
              </w:rPr>
              <w:t>1</w:t>
            </w:r>
            <w:r>
              <w:rPr>
                <w:rFonts w:hint="eastAsia" w:ascii="宋体" w:hAnsi="宋体" w:cs="宋体"/>
                <w:kern w:val="0"/>
                <w:sz w:val="24"/>
                <w:lang w:bidi="ar"/>
              </w:rPr>
              <w:t>、投标人具有职业健康安全管理体系认证证书的得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kern w:val="0"/>
                <w:sz w:val="24"/>
                <w:lang w:bidi="ar"/>
              </w:rPr>
            </w:pPr>
            <w:r>
              <w:rPr>
                <w:rFonts w:hint="eastAsia" w:ascii="宋体" w:hAnsi="宋体" w:cs="宋体"/>
                <w:kern w:val="0"/>
                <w:sz w:val="24"/>
                <w:lang w:val="en-US" w:eastAsia="zh-CN" w:bidi="ar"/>
              </w:rPr>
              <w:t>2</w:t>
            </w:r>
            <w:r>
              <w:rPr>
                <w:rFonts w:hint="eastAsia" w:ascii="宋体" w:hAnsi="宋体" w:cs="宋体"/>
                <w:kern w:val="0"/>
                <w:sz w:val="24"/>
                <w:lang w:bidi="ar"/>
              </w:rPr>
              <w:t>、投标人具有环境管理体系认证证书的得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hint="eastAsia" w:ascii="宋体" w:hAnsi="宋体" w:cs="宋体"/>
                <w:kern w:val="0"/>
                <w:sz w:val="24"/>
                <w:lang w:bidi="ar"/>
              </w:rPr>
            </w:pPr>
            <w:r>
              <w:rPr>
                <w:rFonts w:hint="eastAsia" w:ascii="宋体" w:hAnsi="宋体" w:cs="宋体"/>
                <w:kern w:val="0"/>
                <w:sz w:val="24"/>
                <w:lang w:val="en-US" w:eastAsia="zh-CN" w:bidi="ar"/>
              </w:rPr>
              <w:t>3</w:t>
            </w:r>
            <w:r>
              <w:rPr>
                <w:rFonts w:hint="eastAsia" w:ascii="宋体" w:hAnsi="宋体" w:cs="宋体"/>
                <w:kern w:val="0"/>
                <w:sz w:val="24"/>
                <w:lang w:bidi="ar"/>
              </w:rPr>
              <w:t>、投标人具有质量管理体系认证证书的得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(评分依据：以上该项所有相关证明文件需提供复印件加盖投标人公章，</w:t>
            </w:r>
            <w:r>
              <w:rPr>
                <w:rFonts w:hint="eastAsia" w:ascii="宋体" w:hAnsi="宋体" w:cs="宋体"/>
                <w:b/>
                <w:bCs/>
                <w:color w:val="000000" w:themeColor="text1"/>
                <w:kern w:val="0"/>
                <w:sz w:val="24"/>
                <w:lang w:bidi="ar"/>
                <w14:textFill>
                  <w14:solidFill>
                    <w14:schemeClr w14:val="tx1"/>
                  </w14:solidFill>
                </w14:textFill>
              </w:rPr>
              <w:t>原件备查，</w:t>
            </w:r>
            <w:r>
              <w:rPr>
                <w:rFonts w:hint="eastAsia" w:ascii="宋体" w:hAnsi="宋体" w:cs="宋体"/>
                <w:b/>
                <w:bCs/>
                <w:kern w:val="0"/>
                <w:sz w:val="24"/>
                <w:lang w:bidi="ar"/>
              </w:rPr>
              <w:t>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业绩</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15</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投标人提供近三年（不含开标当月）类似项目业绩，每提供一个得</w:t>
            </w:r>
            <w:r>
              <w:rPr>
                <w:rFonts w:hint="eastAsia" w:ascii="宋体" w:hAnsi="宋体" w:cs="宋体"/>
                <w:kern w:val="0"/>
                <w:sz w:val="24"/>
                <w:lang w:val="en-US" w:eastAsia="zh-CN" w:bidi="ar"/>
              </w:rPr>
              <w:t>5</w:t>
            </w:r>
            <w:r>
              <w:rPr>
                <w:rFonts w:hint="eastAsia" w:ascii="宋体" w:hAnsi="宋体" w:cs="宋体"/>
                <w:kern w:val="0"/>
                <w:sz w:val="24"/>
                <w:lang w:bidi="ar"/>
              </w:rPr>
              <w:t>分，最高得</w:t>
            </w:r>
            <w:r>
              <w:rPr>
                <w:rFonts w:hint="eastAsia" w:ascii="宋体" w:hAnsi="宋体" w:cs="宋体"/>
                <w:kern w:val="0"/>
                <w:sz w:val="24"/>
                <w:lang w:val="en-US" w:eastAsia="zh-CN" w:bidi="ar"/>
              </w:rPr>
              <w:t>15</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(评分依据：提供业绩合同复印件加盖投标人公章，原件备查，未提供原件不得分。)</w:t>
            </w:r>
          </w:p>
        </w:tc>
      </w:tr>
    </w:tbl>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评审专家在采购活动中可获得相应的报酬。根据“谁受益，谁负担”的原则，评委费由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3"/>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i w:val="0"/>
          <w:iCs w:val="0"/>
          <w:color w:val="auto"/>
          <w:kern w:val="0"/>
          <w:szCs w:val="21"/>
          <w:highlight w:val="none"/>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numPr>
          <w:ilvl w:val="0"/>
          <w:numId w:val="2"/>
        </w:numPr>
        <w:adjustRightInd w:val="0"/>
        <w:snapToGrid w:val="0"/>
        <w:spacing w:line="336" w:lineRule="auto"/>
        <w:ind w:left="0" w:leftChars="0" w:firstLine="0" w:firstLineChars="0"/>
        <w:jc w:val="center"/>
        <w:outlineLvl w:val="0"/>
        <w:rPr>
          <w:rFonts w:hint="eastAsia" w:ascii="宋体" w:hAnsi="宋体" w:cs="宋体"/>
          <w:b/>
          <w:sz w:val="33"/>
        </w:rPr>
      </w:pPr>
      <w:r>
        <w:rPr>
          <w:rFonts w:hint="eastAsia" w:ascii="宋体" w:hAnsi="宋体" w:cs="宋体"/>
          <w:b/>
          <w:sz w:val="33"/>
        </w:rPr>
        <w:t xml:space="preserve"> </w:t>
      </w:r>
      <w:bookmarkStart w:id="4" w:name="_Toc292271385"/>
      <w:r>
        <w:rPr>
          <w:rFonts w:hint="eastAsia" w:ascii="宋体" w:hAnsi="宋体" w:cs="宋体"/>
          <w:b/>
          <w:sz w:val="33"/>
        </w:rPr>
        <w:t>技术参数及商务条款</w:t>
      </w:r>
      <w:bookmarkEnd w:id="4"/>
    </w:p>
    <w:p>
      <w:pPr>
        <w:pStyle w:val="2"/>
        <w:numPr>
          <w:ilvl w:val="0"/>
          <w:numId w:val="5"/>
        </w:numPr>
        <w:rPr>
          <w:rFonts w:hint="eastAsia" w:cs="宋体"/>
          <w:b/>
          <w:sz w:val="33"/>
          <w:lang w:val="en-US" w:eastAsia="zh-CN"/>
        </w:rPr>
      </w:pPr>
      <w:r>
        <w:rPr>
          <w:rFonts w:hint="eastAsia" w:cs="宋体"/>
          <w:b/>
          <w:sz w:val="33"/>
          <w:lang w:val="en-US" w:eastAsia="zh-CN"/>
        </w:rPr>
        <w:t>技术参数</w:t>
      </w:r>
    </w:p>
    <w:p>
      <w:pPr>
        <w:keepNext w:val="0"/>
        <w:keepLines w:val="0"/>
        <w:widowControl/>
        <w:suppressLineNumbers w:val="0"/>
        <w:jc w:val="both"/>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专业：通用备件</w:t>
      </w:r>
    </w:p>
    <w:tbl>
      <w:tblPr>
        <w:tblStyle w:val="9"/>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0"/>
        <w:gridCol w:w="2033"/>
        <w:gridCol w:w="3994"/>
        <w:gridCol w:w="777"/>
        <w:gridCol w:w="675"/>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物资名称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规格、参数</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单位</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数量</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角铁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镀锌，3*3；参数：6米一根；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角铁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镀锌，4*4；参数：6米一根；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角铁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镀锌，5*5；参数：6米一根；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槽钢</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6#；参数：6米一根；镀锌；</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槽钢</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8#；参数：6米一根；镀锌；</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槽钢</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10#；参数：6米一根；镀锌；</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槽钢</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12#；参数：6米一根；镀锌；</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方管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80x40 厚4mm,6米一根；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方管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60x40 厚4mm,6米一根；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方管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40x40 厚4mm,6米一根；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扁铁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镀锌，高度100mm，厚度3mm；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扁铁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镀锌，高度120mm，厚度3mm；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不锈钢板材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宽450*长1000*厚10mm、材质304；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不锈钢板材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宽550*长1000*厚10mm、材质304；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不锈钢板材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宽350*长1000*厚10mm、材质304；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不锈钢板材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宽300*长900*厚10mm、材质304；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不锈钢板材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宽300*长1150*厚10mm、材质304；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不锈钢板材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宽230*长1000*厚10mm、材质304；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不锈钢矩形管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200*300*厚5；材质316L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310S不锈钢丝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2毫米粗，软丝耐高温</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鹰嘴式油桶搬运车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DT350升降式、钢塑两用（聚氨酯轮）</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油桶吊钳起重夹具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叉车款四链1.5吨（铁塑两用）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钢丝增强软管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内径19mm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钢丝增强软管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内径25mm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钢丝增强软管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内径42mm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钢丝增强软管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内径65mm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钢丝增强软管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钢丝增强软管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钢丝增强软管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DN75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耐高温硅胶钢丝软管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硅胶风管；参数：DN100，耐300℃；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耐高温硅胶钢丝软管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硅胶风管；参数：DN120，耐温300℃；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耐高温硅胶钢丝软管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硅胶风管；参数：DN300，耐300℃；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帆布软连接（含管箍）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Φ330；尺寸规格：Φ330，长60cm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尺寸规格：16-19×1.8（丝径）；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尺寸规格：19-22×1.8（丝径）；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尺寸规格：22-25×2（丝径）；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尺寸规格：25-29×2（丝径）；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尺寸规格：29-34×2（丝径）；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尺寸规格：34-38×2（丝径）；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尺寸规格：38-42×2（丝径）；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尺寸规格：41-45×2.5（丝径）；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尺寸规格：46-50×2.5（丝径）；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尺寸规格：50-55×3（丝径）；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尺寸规格：55-60×3（丝径）；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尺寸规格：60-65×3（丝径）；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尺寸规格：65-70×3（丝径）；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尺寸规格：70-75×3（丝径）；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尺寸规格：75-80×3（丝径）；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尺寸规格：80-85×3（丝径）；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尺寸规格：120×3（丝径）；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尺寸规格：150×3（丝径）；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钢丝管箍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尺寸规格：300×3（丝径）；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热镀锌钢格栅板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钢格板高度30mm、扁钢厚度3mm、扁钢间距30mm、麻花钢间距50mm、长800mm*宽1000mm/块（宽即为麻花钢长度）；</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塑料铁马</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规格长1400*高1000mm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劳动车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防雨彩条布</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平方米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HDPE防渗膜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厚度1.0mm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平方米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耐酸碱橡胶垫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δ=10mm（用于渗滤液斗法兰垫片）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硅胶条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尺寸20*20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硅胶条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尺寸20*25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实心硅胶条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耐高温红色发泡条、尺寸15*20mm；炉排漏灰输送机上检修孔；</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实心硅胶条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耐高温红色发泡条、尺寸20*40mm；给料炉排炉前检修孔；</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实心硅胶条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耐高温红色发泡条、尺寸10*15mm；锅炉所有输灰管检修孔；</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实心硅胶条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耐高温红色发泡条、尺寸20*20mm；焚烧炉侧门检修孔、水平烟道刮板输灰机上检修孔；</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耐高温硅胶发泡密封条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厚度：2cm，宽度：3cm；布袋除尘器盖板用；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EPDM三元乙丙发泡条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宽：40mm，厚度：14mm，长1.8m；可粘贴，自粘条；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保温棉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参数：玻璃纤维；尺寸规格：厚度80mm，宽1.2m；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橡塑保温板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宽1m,厚30mm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吨袋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材质：PP，承重1.3t；尺寸规格：100*100*120大开口+平底四吊1.3T；</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皮带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A1727</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六角旋入式M10*1.5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六角旋入式M12*1.5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六角旋入式M14*1.5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六角旋入式M16*1.5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六角旋入式M18*1.5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六角旋入式M20*1.5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六角旋入式M22*1.5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六角旋入式M24*1.5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六角旋入式M26*1.5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六角旋入式M27*1.5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六角旋入式M30*1.5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六角旋入式M33*1.5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六角旋入式M36*1.5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六角旋入式M36*2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六角旋入式M42*1.5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六角旋入式M42*2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铜油镜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六角旋入式M48*1.5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定制外六角堵头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英制直螺纹G1寸 螺纹长30mm 六角对边36 实心 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定制外六角堵头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英制直螺纹G1-1/4寸 螺纹长30mm 六角对边46 实心 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定制外六角堵头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英制直螺纹G1-1/2寸 螺纹长30mm 六角对边50 实心 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12.9级外六角油堵螺栓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M8*1、M10*1、M10*1.25、M10*1.5、M12*1、M12*1.25、M12*1.5、M12*1.75、M14*1.5、M16*1.5、M16*2、M18*1.5、M20*1.5以上规格各20个，无需配套螺母垫片等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12.9级外六角油堵螺栓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M22*1.5、M24*1.5、M24*2、M27*1.5、M27*2、M30*1.5、M30*2、M33*1.5、M33*2、M36*1.5、M36*2、M48*2以上规格各20个，无需配套螺母垫片等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定制研磨棒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J61Y-160 DN15对焊截止阀阀体内部与阀芯的接触面研磨棒 材质326钢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定制研磨棒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J61Y-160 DN20对焊截止阀阀体内部与阀芯的接触面研磨棒 材质326钢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定制研磨棒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J61Y-160 DN25对焊截止阀阀体内部与阀芯的接触面研磨棒 材质326钢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定制研磨棒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J61Y-160 DN32对焊截止阀阀体内部与阀芯的接触面研磨棒 材质326钢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定制研磨棒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J61Y-160 DN40对焊截止阀阀体内部与阀芯的接触面研磨棒 材质326钢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定制研磨棒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J61Y-160 DN50对焊截止阀阀体内部与阀芯的接触面研磨棒 材质326钢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背胶自沾砂纸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268L背胶自沾砂纸研磨阀门 9u 355*305mm/块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背胶自沾砂纸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268L背胶自沾砂纸研磨阀门 15u 355*305mm/块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背胶自沾砂纸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268L背胶自沾砂纸研磨阀门 30u 355*305mm/块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背胶自沾砂纸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268L背胶自沾砂纸研磨阀门 60u 355*305mm/块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背胶自沾砂纸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268L背胶自沾砂纸研磨阀门 80u 355*305mm/块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24A-1×110 GB1243.1-83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1.5寸24A单排全接</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工业级滚子链条紧链器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大号（用于1.5寸24A单排）</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工业级滚子链条拆链器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大号（用于1.5寸24A单排）</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16A-1×1.524米 1寸单排</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1寸16A单排全接</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链条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12A；参数：高强度精密滚子链条，304不锈钢；打包机小车；</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工业级滚子链条紧链器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中号（用于1寸16A单排）</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工业级滚子链条拆链器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中号（用于1寸16A单排）</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GB91不锈钢316L材质直径1-4含各类长度套装；此使用部位严格，需提供出厂合格证；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GB91不锈钢316L材质5*25；此使用部位严格，需提供出厂合格证；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GB91不锈钢316L材质5*100；此使用部位严格，需提供出厂合格证；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GB91不锈钢316L材质6*100；此使用部位严格，需提供出厂合格证；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GB91不锈钢316L材质8*100；此使用部位严格，需提供出厂合格证；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皮管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DN25，100米/卷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PVC压缩空气气管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PVC压缩空气气管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PVC压缩空气气管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PVC压缩空气气管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PVC压缩空气气管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PVC压缩空气气管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三通快速接头PE-6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三通快速接头PE-8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三通快速接头PE-10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三通快速接头PE-12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PC6-M5，外螺纹直通快插，白色；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PC6-01，外螺纹直通快插，白色；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PC6-02，外螺纹直通快插，白色；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PC6-03，外螺纹直通快插，白色；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PC6-04，外螺纹直通快插，白色；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PC8-01，外螺纹直通快插，白色；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PC8-02，外螺纹直通快插，白色；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PC8-03，外螺纹直通快插，白色；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PC8-04，外螺纹直通快插，白色；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PC10-01，外螺纹直通快插，白色；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PC10-02，外螺纹直通快插，白色；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PC10-03，外螺纹直通快插，白色；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PC10-04，外螺纹直通快插，白色；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PC12-01，外螺纹直通快插，白色；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PC12-02，外螺纹直通快插，白色；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PC12-03，外螺纹直通快插，白色；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PC12-04，外螺纹直通快插，白色；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PC14-02，外螺纹直通快插，白色；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PC14-04，外螺纹直通快插，白色；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气管快速接头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变径PG8-6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气管快速接头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变径PG10-8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气管快速接头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变径PG10-6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气管快速接头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变径PG12-6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气管快速接头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变径PG12-8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PC8-02 PT1/4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PC10-02 PT1/4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气管快速接头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PC10-01 PT1/4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快速接头调节阀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SL10-03 插管外径10mm 螺纹规格3/8  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快速接头调节阀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SL10-02 插管外径10mm 螺纹规格1/4 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防爆PU管  规格：</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10*6.5mm 蓝</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防爆PU管  规格：</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10*6.5mm 蓝</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包塑金属软管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MCR-06B 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直角旋转接头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KSL10-03S</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直角旋转接头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KSL10-04S</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直角旋转接头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KSL08-03S</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气缸调速接头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SL10-03、气管10、螺纹3/8；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气源处理单联件</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AW3000-02；规格ZG1/4''，20um;设计压力0.05-0.85MPa；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QSF300气动双层阀气缸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QGSDK80×200B-MT4 工作压力1.0MPa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CKD气缸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SCA2-00-50B-150；压力0.05-1.0MPa；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气缸（打包机）</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SE50×100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气缸（打包机）</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SE50×125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SC63x100-TC-M；气动翻板阀用；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SC80×250-S-YCC；石灰浆，</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卡夫特液态生料带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金属管路螺纹密封剂、50克/瓶、密封压力69MPa；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卡夫特金属塑钢棒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100g/根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卫力固金属修补剂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钢质修补剂V-112/500g；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耐高压密封胶</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耐高压≥12MPa、温度-60℃-280℃、85g/套；重点为达到耐高压要求；</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耐高温密封胶</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温度-40℃-270℃；尺寸规格：300ml；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三圈牌生料带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工程专用10米；100卷价（一箱）；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石棉绳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直径6mm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石棉绳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直径8mm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石棉绳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直径10mm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石棉带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宽度30mm，厚度5mm；隔热石棉带；</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石棉带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宽度50mm，厚度5mm；隔热石棉带；</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石棉带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宽度80mm，厚度5mm；隔热石棉带；</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材质：316；尺寸规格：长1.5m，宽5cm，厚度1mm；飞灰固化间打包机用；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青稞纸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一面覆膜、一面带胶、1米*1米*厚0.5mm/块；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氟橡胶板、1米*1米*厚1mm/块；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氟橡胶板、1米*1米*厚3mm/块；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自沾四氟带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宽度10*厚度5mm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自沾四氟带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宽度30*厚度5mm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自沾四氟带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宽度50*厚度5mm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自喷式防水堵漏王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1000ml/罐、灰色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罐</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丁基胶防水胶带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宽15cm*长10m，强力自沾</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瓷砖粘结剂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强力型201g/只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超声波耦合剂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250g/瓶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强力胶</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超强焊接高粘度，金属、塑料、陶瓷、木头、石头、玻璃、铁专用透明快干502电焊油性原胶20g/只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减速机通气帽</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M12*1.25、压力式、材质铜</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减速机通气帽</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M16*1.5、普通式、材质塑料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减速机通气帽</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M16*1.5、组合式、材质塑料；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减速机通气帽</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M16*1.5、矮帽透气阀、材质铝合金；</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减速机通气帽</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M22*1.5、组合式、材质塑料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氩弧焊丝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TIG-J50 φ2.5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氩弧焊丝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TIG-R30 φ2.5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氩弧焊丝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TIG-R31 φ2.5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氩弧焊丝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ER309 φ2.5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氩弧焊丝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ER321 φ2.5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高压密封O形圈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外径16*1.9mm材质：黑色NBR丁晴橡胶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高压密封O形圈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外径21*2.4mm材质：黑色NBR丁晴橡胶；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高压密封O形圈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外径25*2.4mm材质：黑色NBR丁晴橡胶；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高压密封O形圈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外径115*5mm材质：氟橡胶；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高压密封O形圈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外径190*5mm材质：氟橡胶；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高压密封O形圈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外径125*4mm材质：氟橡胶；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高压密封O形圈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外径78*3.1mm材质：黑色NBR丁晴橡胶；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O型密封圈修理盒套装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材质：83NBR、外径6-30mm、线径国标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盒</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ED密封圈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DIN3869型管接头用斜角垫圈 氟胶ED33*2（29.7*35.7*2）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ED密封圈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DIN3869型管接头用斜角垫圈 氟胶ED21*1.5（18.5*23.9*1.5）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密封圈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外径：24cm   厚度：5.6mm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JB982-77组合垫圈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氟胶/紫铜全包组合垫圈套装、包含【M6-M60】所有型号；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JB982-77组合垫圈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丁晴/紫铜组合垫圈套装、包含【M6-M60】所有型号；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JB982-77组合垫圈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氟胶/紫铜全包组合垫圈；M65、M70、M75、M80、M85、M90、M95、M100各10只；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圆柱脱卸铰链</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外径Φ14x总长60、材质不锈钢、焊接式</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圆柱脱卸铰链</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外径Φ16x总长60、材质不锈钢、焊接式</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强光手电筒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PD40RV2.0黑色3000流明</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开口扳手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超薄、双头、开口、厚度≤5mm，型号17；</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开口扳手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超薄、双头、开口、厚度≤5mm，型号30-32；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开口扳手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超薄、双头、开口、厚度≤5mm，型号42；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开口扳手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加长重型梅花开口两用扳手57#；</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开口扳手套装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全尺寸6-36,；开口棘轮扳手；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扭力扳手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SLJ-340型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内六角套筒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工业级重型3/4内六角套筒头12mm、材质为铬钼钢+工业级重型3/4L型套筒扳手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人字梯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撑开高度1.5米，要求加宽加厚，材质坚固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人字梯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3米左右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移动登高货梯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最高层平台高度1.5米，要求加宽加厚，材质坚固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电动角磨机</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DCSM03-100，一电一充，20V，充电式，要求体积小续航长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角磨机碗型钢丝轮</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加厚16孔，角磨机配套使用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铲刀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小号铬钢铲头，铲头直径约10cm；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螺母破拆器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【1-4号】4支盒装，适用范围9-27mm；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牙规</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公制60°+英制55°+美制60°（58片）；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塞尺</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32件套公英制塞尺0.02-1.00mm；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细齿打孔器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3-30细齿开孔器25支送收纳盒；</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两爪拉马</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6寸/150mm两爪拉马、最大开口135mm、最大行程110mm、要求质量上乘；</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液压拉马</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30t</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液压拉马</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50t</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液压拉马</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100t</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重型挡圈钳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25''铬钒钢卡簧钳、内卡外卡各一套且另配内卡直头一副；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机用丝锥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美制1/2-20UNF、材质HSS、精度2B；</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不锈钢黄油嘴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M6、M8、M10、M13；四种中直嘴各100个，弯90度嘴各50个；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国标黄铜油嘴（中直）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M10×1；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国标镀镍油嘴（中直）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M6×1；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不锈钢黄油嘴（90°）</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M10×1；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气动黄油加注机</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40L大泵头、可放油桶使用、工作压力0.6-08MPa、配2根10米以上钢丝油管配锁钳式注油枪、带万向轮；</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手动机油齿轮油加注器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10L特厚手压式加注器；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充电便携式电动黄油枪</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12V 进口+整机+电池盒+备用电池</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阻尼弹簧减振器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ZD-3；参数：荷载80-120kg；螺孔间距16cm，螺孔大小12mm，SCR风机用；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阻尼弹簧减振器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ZD-7；参数：荷载260-320kg；螺孔间距16cm，螺孔大小12mm，炉墙冷却风机用；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阻尼弹簧减振器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ZD-14；参数：荷载700-800kg；螺孔间距22cm，螺孔大小14mm，二次风机用；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眼型自锁钩</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G80,3.15T</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尺寸规格：12mm；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尺寸规格：16mm；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扣环（16mm钢丝绳）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毛毡垫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尺寸规格：O型加厚异形加硬，60×80×10；飞灰固化</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90°门闩式夹钳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GH-40334(SS)；</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防尘防水振动器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工业级，0.37KW，500公斤振动力；</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防尘防水振动器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工业级，0.45KW，700公斤振动力；飞灰仓用；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气动振打器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FP-12-S；活性炭</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荧光粉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粉红色；尺寸规格：10kg/桶；布袋除尘器检漏用；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荧光检测眼镜</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荧光粉检测专用，红/绿/黄荧光提高；布袋除尘器检漏用；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植物/生物抑菌液(垃圾卸料厅用）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LYX-B020生物抑菌液或ZC-植物液除臭液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吨</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柠檬酸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25KG/袋；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贯穿式空气幕</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FM-1515-1-L；卸料平台风幕机，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活塞（空气炮）</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KS-110；聚酰胺纤维原料，耐磨耐酸碱；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活塞环（空气炮）</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KFT-110；聚酰胺纤维原料，耐磨耐酸碱；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手摇油抽</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百分表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表盘直径：57mm，量程：0-10mm，分辨率：0.01mm；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百分表底座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手动万向磁力底座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青稞纸</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0.8*0.9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螺栓松动剂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450ml/瓶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 B胶</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盒</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平面密封胶</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二硫化钼</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含量≥99%；尺寸规格：25kg/桶；执行质量标准：Q/ALSH021-2008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100WQ60-18-5.5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65WQ25-25-3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50WQ（Ⅱ）25-36-7.5；扬程：36m；流量：25m3/h；功率：7.5KW；转速：2880r/min；出水口经：50mm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50WQ（Ⅱ）30-35-7.5；扬程：35m；流量：30m3/h；功率：7.5KW；转速：2880r/min；出水口经：50mm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50WQ9-22-2.2；扬程：9m；流量：22m3/h；功率：2.2KW；出水口经：50mm；电压：380V</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潜污泵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50QW15-40-5.5；参数：流量：15m3/h，扬程：40m，功率：5.5KW；生活污水回用水泵；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潜污泵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50QW5-25-1.5；参数：流量：5m3/h，扬程：25m，功率：1.5KW；生活污水中间水泵；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50QW5-10-0.75；参数：流量：5m3/h，扬程：10m，功率：0.75KW；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65-20-25；出水口径DN65、电压380V、功率2.2KW；进水口带滤网</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真空泵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2BVX061F</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隔爆型潜水泵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IICQQWS35-30-7.5；扬程：30m；流量：35m3/h；功率：7.5KW；转速：2900r/min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生活水箱供水泵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MHI802N-1/10E/3-380-50-2-BSR</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减速机润滑油泵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CB-1.4，配YSB5014防爆电机；污泥储池搅拌机；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TUF化学清洗泵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50LFSB-15-20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TUF化学清洗泵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65FSB-15L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XGB-6型旋涡型气泵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转速2800r/m、功率5.5KW、电压380V、最大流量360m³/h、最大压力40KPa、最大真空29KPa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渣油泵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ZYB-2/1.45；参数：流量33.3L/min；功率2.2KW；转速1500r/min；排出压力1.45MPa；吸入压力-0.05MPa；电机YE2-100L1-4，电压380V，电流4.95A，转速1410r/min；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不锈钢卧式单级离心泵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ZS65-40-160/4:0SSC；流量：25m³/h，扬程：28m，转速：2900r/min，功率：4Kw；卸氨泵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立式多级离心泵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CRI1-17A-FGJ-A-E-HQQE；流量：1.8m³/h，功率：1.1Kw，扬程：80.1m；SNCR输送泵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立式多级离心泵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CRI1-23A-FGJ-A-E-HQQE；流量：1.8m³/h，功率1.1Kw，扬程：105m；SNCR软水输送泵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立式多级离心泵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CRI1-19 A-FGJ-I-E-HQQE；流量：1.8m³/h,功率1.1Kw，扬程：88.4m；SCR输送泵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立式多级离心泵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CDMF20-2FSWSC；流量：20m³/h，功率：3Kw，扬程：23m；液碱卸料泵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立式多级离心泵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CDMF10-2FSWSC；流量：10m³/h，功率：1.1Kw，扬程：16.5m；液碱稀释泵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立式多级离心泵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CDLF32-60-2FSWSC；流量：32m³/h，功率：11Kw，扬程：74m；工业水增压输送泵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立式多级离心泵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CDMF3-4FSWSC；流量：3m³/h，功率：0.55Kw，扬程：23m；液碱输送泵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离心泵（渣池除雾）</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KYLR100-125A；尺寸规格：Q=65m3/h，功率7.5KW，扬程16m，转速2900r/min；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离心泵（飞灰固化）</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IHG50-100；参数：流量：25m3/h，DN65，功率：1.5Kw，扬程：12.5m；转速：2900r/min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吹扫风机（反应塔）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4-72-3.2A；参数：风机流量：1600m3/h，电机功率：1.5KW，风机转速：2900r/min；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烧碱制备罐搅拌机减速机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（带电机、搅拌杆、叶片）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FE57-ZP2.2-4P-13.95-M4-200（含电机、搅拌杆、叶片）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石灰浆制备罐搅拌机减速机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（带电机、搅拌杆、叶片）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YRF97-Y5.5/E-23-M4-Φ350（带电机、搅拌杆、叶片）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石灰浆储存罐搅拌机减速机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（带电机、搅拌杆、叶片）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YRF97-Y7.5/F-23-M4-φ350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 20m/卷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 20m/卷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 20m/卷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消防水带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可耐100℃，内径75mm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7309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7311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NU216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6310-2Z</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7209 ACM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NU309 ECM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NU214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31312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32322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32228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32320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32324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6322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6204ZZ</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6206ZZ/C3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6224/C3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6226/C3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6244/C3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6306-RZ</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6312/C3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6313/C3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6317/C3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6320/C3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7310BE</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NU224ECM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NU228ECM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NU244ECM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6205 C3 ZZ</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7209；石灰浆泵；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NU309石灰浆泵；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22213CA仓泵间破碎机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6014，飞灰固化间螺旋给料机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6305，飞灰固化间螺旋给料机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1310；仓泵间卸灰阀</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NU2316EM；冷却水泵；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NJ322EM；减湿水泵；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22316CC；冷却水泵；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22310CC；应急池泵；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NU310EM；应急池泵；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6217N；反应塔输出端二级传动；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6406；反应塔、布袋刮板机减速机中间轴轴承；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23128；公用刮板机减速机输出端二级传动轴承；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6232；公用刮板机减速机输出端二级传动轴承；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NJ414；公用刮板机减速机中间轴轴承；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23120C／W33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轴承（打包机小车）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6207-2RS；后轮；</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轴承（打包机小车）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6206 2RZ；前轮；</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502328；公用刮板机减速机偏心轴承；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502219；公用刮板机减速机偏心轴承；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6407；公用刮板机减速机输入端 二级传动轴承；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1216；斗提机，布袋刮板机，反应塔刮板机头轴；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2211；斗提机，布袋刮板机，反应塔刮板机尾轴；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2219；公用刮板机头部；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2213；公用刮板机尾部；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30215；仓泵间刮板机头部；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1312；仓泵间刮板机尾部；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6303；仓泵间破碎机；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rn307m；仓泵间破碎机齿轮箱；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29422E；减湿水泵；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6218；反应塔、布袋刮板机输出端二级传动；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6403；反应塔、布袋刮板机减速机输入端 二级传动轴承；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502212；布袋、反应塔刮板机减速机偏心轴承；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502307；布袋、反应塔刮板机减速机偏心轴承；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s6901zz；</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6902z2；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6003zz；活性炭给料螺旋机；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30312；卸料大门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22324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22313CA；干式螺旋输灰机头轴轴承；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带座外球面轴承UCFC209；旋转阀轴承；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带方形座外球面轴承UCFU319、GB/T7810-1995、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带紧定套轴承22215CAK/W33+H315、GB288-87、炉排漏灰输送机尾轴轴承；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调心滚子轴承22210C炉排漏灰输送机导向轮轴承；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113522+H322、GB286-87、水平烟道刮板输灰机头部轴承；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113516+H316、GB287-87水平烟道刮板输灰机尾部轴承（同干式螺旋输灰机尾轴轴承）；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带座轴承UCFU209、GB/T7810-1995、气动双层阀轴承；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关节轴承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GEEW60ES关节轴承、内径60*外径90*内圈厚度60*外圈厚度36mm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关节轴承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GEEW63ES关节轴承、内径63*外径95*内圈厚度63*外圈厚度36mm、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关节轴承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GEEW70ES关节轴承、内径70*外径105*内圈厚度70*外圈厚度40mm、；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机械密封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KL109-20；飞灰固化</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机械密封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水泵CDMF20-2FSWSC；烧碱卸料泵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机械密封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109-25；渣池除雾系统用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空气锤</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BAH-80；参数：使用压力：4-7kg/cm3，空气消耗量：0.455l/e.t，冲击力：12.5kg.m/s；</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TC70-110-10 8C NAK；石灰螺旋给料机用；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100×130×12；反应塔刮板机减速机输出端油封；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40x65x12；反应塔刮板机减速机输入端油封；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170x200x18；公用刮板机减速机输出端；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17×35×6；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TC型45-70-12 20C；石灰浆泵用；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Φ180×12，混合机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23120C／W33，混合机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70×90×10，飞灰固化间螺旋给料机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55*80*10；仓泵间卸灰阀</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50*75*12；仓泵间卸灰阀</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φ100×φ70×12；橡胶；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16×24×7；</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70×95×12；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70×90×10；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骨架油封43×60×10；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油封（烟气）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骨架油封un型60-80-10；飞灰固化给料阀</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22*35*7双唇；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30*40*7双唇；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30*50*10双唇；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38*62*12双唇；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50*75*10双唇；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65*90*12双唇；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65*100*12双唇；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100*130*12双唇；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120*170*16双唇；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耐高温骨架油封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130*160*15双唇；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耐高温端盖油封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24*7双唇；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耐高温端盖油封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62*8双唇；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耐高温端盖油封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110*12双唇；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石墨盘根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DN300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DN350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(变径)DN125*80，PN16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EXP-DN350×260，PN16；参数：配套3根限位拉杆，膨胀节上、下各16个螺栓；橡胶法兰式膨胀节，减湿水泵用；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膨胀节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EXP-DN200×180，PN16；参数： 配套3根丝杆，膨胀节上下各有8个螺栓孔；橡胶法兰式膨胀节，冷却水泵用；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φ16x3.5、材质：304无缝钢管；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材质:S30408，φ25*2.5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材质:S30408，φ32*3.5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材质:S30408，φ38*3.5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材质:S30408，φ45*3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材质:S30408，φ57*3.5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材质:S30408，φ76*4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材质:S30408，φ89*4.5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材质:S30408，φ108*4.5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材质:S30408，φ133*5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材质:S30408，φ159*6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φ159x10、材质：316L无缝钢管；需提供出厂合格证；激波吹灰脉冲管直段；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OCr18Ni9 GB/T14976-2002 25*3*8000mm H；酸洗、冲洗、两端封堵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OCr18Ni9 GB/T14976-2002 20*2.5*8000mm H；酸洗、冲洗、两端封堵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φ18x3.5、材质：20G无缝高压锅炉管；防锈处理后两端封堵；需提供出厂合格证；按整根6-8米送货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φ25x3.5、材质：20G无缝高压锅炉管；防锈处理后两端封堵；需提供出厂合格证；按整根6-8米送货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φ27x3.5、材质：20G无缝高压锅炉管；防锈处理后两端封堵；需提供出厂合格证；按整根6-8米送货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φ32x4、材质：20G无缝高压锅炉管；防锈处理后两端封堵；需提供出厂合格证；按整根6-8米送货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φ34x4、材质：20G无缝高压锅炉管；防锈处理后两端封堵；需提供出厂合格证；按整根6-8米送货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φ38x4.5、材质：20G无缝高压锅炉管；防锈处理后两端封堵；需提供出厂合格证；按整根6-8米送货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φ42x5、材质：20G无缝高压锅炉管；防锈处理后两端封堵；需提供出厂合格证；按整根6-8米送货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φ48x5、材质：20G无缝高压锅炉管；防锈处理后两端封堵；需提供出厂合格证；按整根6-8米送货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φ57x5、材质：20G无缝高压锅炉管；防锈处理后两端封堵；需提供出厂合格证；按整根6-8米送货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φ60x6、材质：20G无缝高压锅炉管；防锈处理后两端封堵；需提供出厂合格证；按整根6-8米送货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φ76x6、材质：20G无缝高压锅炉管；防锈处理后两端封堵；需提供出厂合格证；按整根6-8米送货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φ89x6、材质：20G无缝高压锅炉管；防锈处理后两端封堵；需提供出厂合格证；按整根6-8米送货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φ108x8、材质：20G无缝高压锅炉管；防锈处理后两端封堵；需提供出厂合格证；按整根6-8米送货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φ133x8、材质：20G无缝高压锅炉管；防锈处理后两端封堵；需提供出厂合格证；按整根6-8米送货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φ159x8、材质：20G无缝高压锅炉管；防锈处理后两端封堵；需提供出厂合格证；按整根6-8米送货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φ219x8、材质：20G无缝高压锅炉管；防锈处理后两端封堵；需提供出厂合格证；按整根6-8米送货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材质:钢20，φ12*1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材质:钢20，φ18*2.5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材质:钢20，φ25*3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材质:钢20，φ32*3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材质:钢20，φ38*3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材质:钢20，φ45*3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材质:钢20，φ57*3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材质:钢20，φ76*3.5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材质:钢20，φ89*4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材质:钢20，φ108*4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材质:钢20，φ133*4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材质:钢20，φ159*4.5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材质:钢20，φ194*4.5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材质12Cr1MoVG，φ18*2.5需提供出厂合格证；按整根6-8米送货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材质12Cr1MoVG，φ25*3需提供出厂合格证；按整根6-8米送货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材质12Cr1MoVG，φ32*3需提供出厂合格证；按整根6-8米送货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材质12Cr1MoVG，φ38*4需提供出厂合格证；按整根6-8米送货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材质12Cr1MoVG，φ48*4需提供出厂合格证；按整根6-8米送货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材质12Cr1MoVG，φ60*5需提供出厂合格证；按整根6-8米送货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材质12Cr1MoVG，φ76*5需提供出厂合格证；按整根6-8米送货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材质12Cr1MoVG，φ133*5需提供出厂合格证；按整根6-8米送货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材质12Cr1MoVG，φ159*6需提供出厂合格证；按整根6-8米送货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材质12Cr1MoVG，φ194*9需提供出厂合格证；按整根6-8米送货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材质12Cr1MoVG，φ219*10需提供出厂合格证；按整根6-8米送货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材质12Cr1MoVG，φ273*11需提供出厂合格证；按整根6-8米送货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材质12Cr1MoVG，φ325*13需提供出厂合格证；按整根6-8米送货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φ219x20、材质：12Cr1MoVG无缝钢管；防锈处理后两端封堵；需提供出厂合格证；按整根6-8米送货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材质15CrMoG，φ12*2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材质15CrMoG，φ25*2.5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材质15CrMoG，φ28*2.5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材质15CrMoG，φ35*2.5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材质15CrMoG，φ45*3.5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无缝钢管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材质15CrMoG，φ57*4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DN50x32 接管尺寸φ57*3.5/φ35*2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材质15CrMoG；</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DN40x25 接管尺寸φ45*3.5/φ28*1.5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DN125x80（接管φ133x5/φ89x5）；材质：20G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DN125x80（接管φ133x5/φ89x5）；材质：12Cr1MoVG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DN80x40（接管φ89x5/φ48x4）；材质：20G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DN80x50（接管φ89x5/φ60x5）；材质：12Cr1MoVG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DN50x40（接管φ60x5/φ48x4）；材质：20G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DN40x32（接管φ48x4/φ38x4）；材质：12Cr1MoVG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DN40x32（接管φ48x4/φ38x4）；材质：12Cr1MoVG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DN20x32（接管φ25x3/φ38x4）；材质：12Cr1MoVG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DN100x40（接管φ108x4/φ48x4）；材质：20G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DN125x80（接管φ133x5/φ89x4）；材质：20G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DN125x80（接管φ133x5/φ89x4）；材质：12Cr1MoVG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DN100x50（接管φ108x4/φ57x3）；材质：20G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DN80x50（接管φ89x4/φ57x3.5）；材质：12Cr1MoVG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DN40x30（接管φ48x4/φ38x3.5）；材质：12Cr1MoVG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DN80x50（接管φ89x4/φ57x3.4）；材质：20G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钢管模压异径管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DN50x40（接管φ57x4/φ48x4）；材质：12Cr1MoVG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DN80x80x80（接管φ89x4），材质：20钢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DN80x50x80（接管φ89x4/φ60x5）；材质：20钢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DN80x50x80（接管φ89x4/φ57x3.5）；材质：20钢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DN80x40x80（接管φ89x4/φ48x4）；材质：20钢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DN50x50x50（接管φ57x3.5）；材质：20钢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DN40x40x40（接管φ48x4）；材质：12Cr1MoVG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DN50x25x50（接管φ57x3.5/φ32x3）；材质：12Cr1MoVG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DN40x20x40（接管φ48x4/φ25x2.5）；材质：12Cr1MoVG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PN63 DN20x20x20（接管φ25x2.5）；材质：12Cr1MoVG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DN50x50x50（接管φ60x5）；材质：20钢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DN50x40x50（接管φ60x5/φ48x4）；材质：20钢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DN40x40x40（接管φ48x4）；材质：20钢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DN32x32x32（接管φ38x4）；材质：12Cr1MoVG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DN50x20x50（接管φ60x5/φ25x2.5）；材质：20钢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DN40x20x40（接管φ48x4/φ25x2.5）；材质：20钢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DN32x20x32（接管φ38x4/φ25x2.5）；材质：12Cr1MoVG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DN32x20x32（接管φ38x4/φ25x2.5）；材质：12Cr1MoVG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DN50x20x50（接管φ60x5/φ25x2.5）；材质：12Cr1MoVG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锻制三通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DN20x20x20（接管φ25x2.5）；材质：20钢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DN200x80（接管φ89x4 主管φ219x6）；材质：20G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DN200x20（接管φ25x2.5 主管φ219x6）；材质：20G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DN80x20（接管φ25x2.5 主管φ89x4）；材质：20G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DN50x20（接管φ25x2.5 主管φ57x3.5）；材质：20G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DN150x40（接管φ48x4 主管φ159x6）；材质：12Cr1MoVG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DN150x20（接管φ25x2.5 主管φ159x6）；材质：12Cr1MoVG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DN125x40（接管φ48x4 主管φ133x6）；材质：12Cr1MoVG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接管座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DN125x20（接管φ25x3 主管φ133x6）；材质：12Cr1MoVG</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φ16x3.5、90°、材质：304无缝钢管；需提供出厂合格证；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φ32x3、90°、材质06Cr19Ni10、需提供出厂合格证；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配套OCr18Ni9 GB/T14976-2002 25*3*8000mm H的无缝钢管90度弯头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配套OCr18Ni9 GB/T14976-2002 20*2.5*8000mm H无缝钢管90度弯头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φ25*2.5、90°、材质:S30408，需提供出厂合格证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φ32*3.5、90°、材质:S30408，需提供出厂合格证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φ38*3.5、90°、材质:S30408，需提供出厂合格证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φ45*3、90°、材质:S30408，需提供出厂合格证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φ57*3.5、90°、材质:S30408，需提供出厂合格证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φ76*4、90°、材质:S30408，需提供出厂合格证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φ89*4.5、90°、材质:S30408，需提供出厂合格证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φ108*4.5、90°、材质:S30408，需提供出厂合格证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φ133*5、90°、材质:S30408，需提供出厂合格证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φ159*6、90°、材质:S30408，需提供出厂合格证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φ12*2、90°、材质15CrMoG，防锈处理后两端封堵；需提供出厂合格证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φ25*2.5、90°、材质15CrMoG，防锈处理后两端封堵；需提供出厂合格证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φ28*2.5、90°、材质15CrMoG，防锈处理后两端封堵；需提供出厂合格证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φ35*2.5、90°、材质15CrMoG，防锈处理后两端封堵；需提供出厂合格证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φ45*3.5、90°、材质15CrMoG，防锈处理后两端封堵；需提供出厂合格证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φ57*4、90°、材质15CrMoG，防锈处理后两端封堵；需提供出厂合格证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φ18*2.5、90°、材质12Cr1MoVG，防锈处理后两端封堵；需提供出厂合格证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φ25*3、90°、材质12Cr1MoVG，防锈处理后两端封堵；需提供出厂合格证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φ32*3、90°、材质12Cr1MoVG，防锈处理后两端封堵；需提供出厂合格证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φ38*4、90°、材质12Cr1MoVG，防锈处理后两端封堵；需提供出厂合格证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φ48*4、90°、材质12Cr1MoVG，防锈处理后两端封堵；需提供出厂合格证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φ60*5、90°、材质12Cr1MoVG，防锈处理后两端封堵；需提供出厂合格证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φ76*5、90°、材质12Cr1MoVG，防锈处理后两端封堵；需提供出厂合格证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φ133*5、90°、材质12Cr1MoVG，防锈处理后两端封堵；需提供出厂合格证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φ159*6、90°、材质12Cr1MoVG，防锈处理后两端封堵；需提供出厂合格证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φ194*9、90°、材质12Cr1MoVG，防锈处理后两端封堵；需提供出厂合格证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φ219*10、90°、材质12Cr1MoVG，防锈处理后两端封堵；需提供出厂合格证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φ219x20、90°、材质：12Cr1MoVG无缝钢管；防锈处理后两端封堵；需提供出厂合格证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φ273*11、90°、材质12Cr1MoVG，防锈处理后两端封堵；需提供出厂合格证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φ325*13、90°、材质12Cr1MoVG，防锈处理后两端封堵；需提供出厂合格证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φ18x3.5、90°、材质：20G无缝高压锅炉管；防锈处理后两端封堵；需提供出厂合格证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φ25x3.5、90°、材质：20G无缝高压锅炉管；防锈处理后两端封堵；需提供出厂合格证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φ27x3.5、90°、材质：20G无缝高压锅炉管；防锈处理后两端封堵；需提供出厂合格证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φ32x4、90°、材质：20G无缝高压锅炉管；防锈处理后两端封堵；需提供出厂合格证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φ34x4、90°、材质：20G无缝高压锅炉管；防锈处理后两端封堵；需提供出厂合格证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φ38x4.5、90°、材质：20G无缝高压锅炉管；防锈处理后两端封堵；需提供出厂合格证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φ42x5、90°、材质：20G无缝高压锅炉管；防锈处理后两端封堵；需提供出厂合格证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φ48x5、90°、材质：20G无缝高压锅炉管；防锈处理后两端封堵；需提供出厂合格证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φ57x5、90°、材质：20G无缝高压锅炉管；防锈处理后两端封堵；需提供出厂合格证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φ60x6、90°、材质：20G无缝高压锅炉管；防锈处理后两端封堵；需提供出厂合格证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φ76x6、90°、材质：20G无缝高压锅炉管；防锈处理后两端封堵；需提供出厂合格证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φ89x6、90°、材质：20G无缝高压锅炉管；防锈处理后两端封堵；需提供出厂合格证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φ108x8、90°、材质：20G无缝高压锅炉管；防锈处理后两端封堵；需提供出厂合格证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φ133x8、90°、材质：20G无缝高压锅炉管；防锈处理后两端封堵；需提供出厂合格证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φ159x8、90°、材质：20G无缝高压锅炉管；防锈处理后两端封堵；需提供出厂合格证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φ159x10、90°、材质：20G无缝高压锅炉管；需提供出厂合格证；注意弯头半径R=1.5D；激波吹灰脉冲管弯头；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热压弯头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φ219x8、90°、材质：20G无缝高压锅炉管；防锈处理后两端封堵；需提供出厂合格证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钢丝网骨架复合管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dn63，PN16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钢丝网骨架复合管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dn75，PN16，钢丝网骨架复合管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钢丝网骨架复合管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dn90，PN16，钢丝网骨架复合管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钢丝网骨架复合管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dn110，PN16，钢丝网骨架复合管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dn63，PN16，钢丝网骨架复合管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dn75，PN16，钢丝网骨架复合管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dn90，PN16，钢丝网骨架复合管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dn110，PN16，钢丝网骨架复合管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dn63，PN16，钢丝网骨架复合管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dn75，PN16，钢丝网骨架复合管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dn90，PN16，钢丝网骨架复合管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90°弯头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dn110，PN16，钢丝网骨架复合管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dn63，PN16，钢丝网骨架复合管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dn75，PN16，钢丝网骨架复合管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dn90，PN16，钢丝网骨架复合管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dn110，PN16，钢丝网骨架复合管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DN32*20，PN16，UPVC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DN32*25，PN16，UPVC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DN50*25，PN16，UPVC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DN50*32，PN16，UPVC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DN65*25，PN16，UPVC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DN65*32，PN16，UPVC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DN80*25，PN16，UPVC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DN80*40，PN16，UPVC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DN80*65，PN16，UPVC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DN100*25，PN16，UPVC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DN100*40，PN16，UPVC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DN100*50，PN16，UPVC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DN100*32，PN16，UPVC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DN125*50，PN16，UPVC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DN125*80，PN16，UPVC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变径三通</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DN150*50，PN16，UPVC 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dn63，PN16，钢丝网骨架复合管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dn75，PN16，钢丝网骨架复合管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dn90，PN16，钢丝网骨架复合管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活套法兰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dn110，PN16，钢丝网骨架复合管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活接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DN125*100，PN16，UPVC，化工级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DN125*80，PN16，UPVC，化工级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DN150*125，PN16，UPVC，化工级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dn75*63，PN16，钢丝网骨架复合管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dn90*63，PN16，钢丝网骨架复合管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dn90*75，PN16，钢丝网骨架复合管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dn110*63，PN16，钢丝网骨架复合管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变径直接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dn110*90，PN16，钢丝网骨架复合管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DN25*15，PN16，UPVC，化工级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DN32*20，PN16，UPVC，化工级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DN40*25，PN16，UPVC，化工级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DN50*32，PN16，UPVC，化工级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DN50*40，PN16，UPVC，化工级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DN80*50，PN16，UPVC，化工级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 补芯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DN80*65，PN16，UPVC，化工级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PE抢修节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DN32；材质：铸铁；承压：16公斤；长度：18cm；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PE抢修节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DN40；材质：铸铁；承压：16公斤；长度：18cm；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PE抢修节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DN50；材质：铸铁；承压：16公斤；长度：18cm；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PE抢修节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DN65；材质：铸铁；承压：16公斤；长度：18cm；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PE抢修节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DN80；材质：铸铁；承压：16公斤；长度：18cm；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DN32，短管；量程：1-10m3/h，材质：PVC塑料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 ，短管；量程：0.6-6m3/h，材质：PVC塑料；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 ，短管；量程：14-90m3/h，材质：PVC塑料；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 ，短管；量程：8-40m3/h，材质：PVC塑料；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DN123 ，短管；量程：18-120m3/h，材质：PVC塑料；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 ，短管；量程：8-40m3/h，材质：PVC塑料；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DN40，短管；；量程：0.6-6m3/h，材质：PVC塑料；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转子流量计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DN50，短管； 量程：1.6-16m3/h；材质：PVC塑料；</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透明硅胶管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尺寸：6*4mm，工业级；硬度较高，耐压0.6MPa以上；</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抱箍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一字；尺寸规格：16-25mm，材质：不锈钢；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抱箍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一字；尺寸规格：18-32mm，材质：不锈钢；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抱箍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一字；尺寸规格：27-51mm，材质：不锈钢；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抱箍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一字；尺寸规格：46-70mm，材质：不锈钢；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抱箍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一字；尺寸规格：59-82mm，材质：不锈钢；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取样阀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UPVC；尺寸规格：20mm*1/4；配外牙20mm*2分内牙补心；</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DN25*1200；承受压力100bar；尺寸规格：1.2米；2头为DN25沟槽接头，包含泵出口螺纹与拷贝林接头（NPT1寸外螺纹-DN25-33.7拷贝林）；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DN32*850两头拷贝林42.4接头；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DN40*850两头拷贝林48.3接头；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L型弯油管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金属铁头，M16*1.5，长120mm；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L型弯油管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塑料头，M16*1.5，长120mm；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保安过滤器排气阀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尺寸：1/4，材质：ss304；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过滤器滤袋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1号滤袋，5微米,180*430，pp绵，塑料口</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过滤器滤袋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2号滤袋，5微米,180*810，pp绵，塑料口</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过滤器滤芯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5微米，长度1米,外径65，内径28，pp熔喷滤芯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RO膜芯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陶氏BW30FR-400/34；尺寸规格：40英寸；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DN300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DN350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DN50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DN80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不锈钢法兰盲板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DN200 PN16国标、材质316L</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法兰式金属软管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长度约800mm，DN40，一侧为活动法兰片，一侧为外螺纹连接，材质为全304不锈钢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法兰式金属软管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长度约500mm，DN32，两侧均为法兰片（其中一侧为活动法兰片），材质为全304不锈钢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法兰式金属软管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长度约800mm，DN50，两侧均为法兰片（其中一侧为活动法兰片），材质为全304不锈钢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法兰式金属软管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长度约500mm，DN50，两侧均为法兰片（其中一侧为活动法兰片），材质为全304不锈钢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不锈钢工业波纹管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长度2000mm、DN20=6分、两侧均为球头口内丝、材质为316L不锈钢；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金属软管（带螺纹接口）；尺寸规格：管径1/2＂，长度10cm；；SNCR氨水混合单元；</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DN10，一头单头外丝带球面密封，另一头双头外丝（DN10短丝接头转R1/4"），且带球面密封；SNCR氨水喷枪用；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FL-12-3/4（302）、材质304不锈钢；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FL-16-1（303）、材质304不锈钢；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FL-20-1 1/4（304）、材质304不锈钢；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FL-24-1 1/2（305）、材质304不锈钢；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FL-32-2（306）、材质304不锈钢；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FL-2.5（307）、材质304不锈钢；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FL-3（308）、材质304不锈钢；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FL-3.5（309）、材质304不锈钢；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SAE对开法兰</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FL-3.5（310）、材质304不锈钢；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法兰跨接线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6平方紫铜法兰静电跨接线、6-16、L=150mm、O型；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汽轮机油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L-TSA 46 209L/桶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液压油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L-HM 46 209L/桶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齿轮油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#220 200L/桶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齿轮油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#150 200L/桶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齿轮油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L-CKC100 200L/桶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润滑油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DTE24（雾化器）18L/桶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给水泵润滑油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API CF-4 SAE 15W-40 18L/桶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真空泵润滑油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VM100 5L/桶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锂基脂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S2 V220 3；规格：18kg/桶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锂基脂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S2 V220 2；尺寸规格：18kg/桶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锂基脂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S2 V220 0；规格：18kg/桶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B型内环、316L不锈钢内环+316L不锈钢密封钢带+石墨、DN65；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B型内环、316L不锈钢内环+316L不锈钢密封钢带+石墨、DN80；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B型内环、316L不锈钢内环+316L不锈钢密封钢带+石墨、DN100；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B型内环、316L不锈钢内环+316L不锈钢密封钢带+石墨、DN125；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B型内环、316L不锈钢内环+316L不锈钢密封钢带+石墨、DN150；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B型内环、316L不锈钢内环+316L不锈钢密封钢带+石墨、DN200；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B型内环、316L不锈钢内环+316L不锈钢密封钢带+石墨、DN225；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B型内环、316L不锈钢内环+316L不锈钢密封钢带+石墨、DN250；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B型内环、316L不锈钢内环+316L不锈钢密封钢带+石墨、DN275；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B型内环、316L不锈钢内环+316L不锈钢密封钢带+石墨、DN300；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B型内环、316L不锈钢内环+316L不锈钢密封钢带+石墨、DN325；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D型内外环、316L不锈钢内外环+316L不锈钢密封钢带+石墨、DN65；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D型内外环、316L不锈钢内外环+316L不锈钢密封钢带+石墨、DN80；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D型内外环、316L不锈钢内外环+316L不锈钢密封钢带+石墨、DN100；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D型内外环、316L不锈钢内外环+316L不锈钢密封钢带+石墨、DN125；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D型内外环、316L不锈钢内外环+316L不锈钢密封钢带+石墨、DN150；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D型内外环、316L不锈钢内外环+316L不锈钢密封钢带+石墨、DN200；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D型内外环、316L不锈钢内外环+316L不锈钢密封钢带+石墨、DN225；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D型内外环、316L不锈钢内外环+316L不锈钢密封钢带+石墨、DN250；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D型内外环、316L不锈钢内外环+316L不锈钢密封钢带+石墨、DN275；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D型内外环、316L不锈钢内外环+316L不锈钢密封钢带+石墨、DN300；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D型内外环、316L不锈钢内外环+316L不锈钢密封钢带+石墨、DN325；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A型基本型无内外环、316L不锈钢密封钢带+石墨、外径106mm、内径88mm；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A型基本型无内外环、316L不锈钢密封钢带+石墨、外径78mm、内径62mm；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A型基本型无内外环、316L不锈钢密封钢带+石墨、外径74mm、内径38mm；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A型基本型无内外环、316L不锈钢密封钢带+石墨、外径155mm、内径127mm；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A型基本型无内外环、316L不锈钢密封钢带+石墨、DN65；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A型基本型无内外环、316L不锈钢密封钢带+石墨、DN80；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A型基本型无内外环、316L不锈钢密封钢带+石墨、DN100；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A型基本型无内外环、316L不锈钢密封钢带+石墨、DN125；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A型基本型无内外环、316L不锈钢密封钢带+石墨、DN150；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A型基本型无内外环、316L不锈钢密封钢带+石墨、DN200；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A型基本型无内外环、316L不锈钢密封钢带+石墨、DN225；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A型基本型无内外环、316L不锈钢密封钢带+石墨、DN250；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A型基本型无内外环、316L不锈钢密封钢带+石墨、DN275；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A型基本型无内外环、316L不锈钢密封钢带+石墨、DN300；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金属石墨缠绕垫片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A型基本型无内外环、316L不锈钢密封钢带+石墨、DN325；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高强石墨复合垫片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衬垫标准件实测内径425mm*外径518mm*厚度2mm，PN160，材质RSB1222；产品名称21K115-01、规格尺寸NG4122.5-05；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紫铜退火平垫片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定制内径55*外径70*厚度2mm；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紫铜退火平垫片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定制内径31*外径38*厚度2mm；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紫铜退火平垫片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定制内径42*外径54*厚度2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紫铜退火平垫片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M30、内径30*外径34*厚度2mm；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紫铜退火平垫片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M33、内径33*外径38*厚度2mm；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紫铜退火平垫片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M36、内径36*外径42*厚度2mm；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紫铜退火平垫片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定制内径42*外径46.5*厚度2mm；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高压紫铜垫片组合套装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4*8*1至33*43*1.5合计24种规格套装、每种规格至少10只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聚四氟乙烯密封垫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外径45mm×内径41mm×厚度2mm；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聚四氟乙烯密封垫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外径70mm×内径54mm×厚度2mm；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聚四氟乙烯密封垫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外径105mm×内径86mm×厚度3mm；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聚四氟乙烯密封垫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外径33mm×内径28mm×厚度2mm；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聚四氟乙烯密封垫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外径44mm×内径39mm×厚度2mm；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聚四氟乙烯密封垫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外径54mm×内径42mm×厚度2mm；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克林格垫片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C4400，规格2m*2m ，厚度2mm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克林格垫片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C4430，规格2m*2m ，厚度2mm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厚0.01mm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厚0.05mm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厚0.1mm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厚0.2mm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紫铜垫片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厚0.5mm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kg</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联轴器柱销弹性圈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30*56*14，材质优质橡胶；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联轴器柱销弹性圈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18*35*9，材质优质橡胶；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联轴器柱销弹性圈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14*27*7，材质优质橡胶；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联轴器柱销弹性圈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24*45*12，材质优质橡胶；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联轴器柱销弹性圈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10*20*5，材质优质牛筋；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联轴器柱销弹性圈（湿法泵）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φ18×φ36×35；材质：牛筋；湿法冷却水泵、应急水泵；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联轴器柱销弹性圈（湿法泵）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φ30×φ56.5×58；材质：牛筋；湿法减湿水泵；</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联轴器弹性柱销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12.9级、M10*68，配套螺母、平垫片、弹簧垫片；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联轴器弹性柱销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12.9级、M16*107，配套螺母、平垫片、弹簧垫片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联轴器弹性柱销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12.9级、M8*48，配套螺母、平垫片、弹簧垫片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联轴器柱销（湿法减湿循环泵）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Φ30×142×M24；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T75、材质牛筋、六角耐磨减震块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T80、材质牛筋、六角耐磨减震块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T85、材质牛筋、六角耐磨减震块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T90、材质牛筋、六角耐磨减震块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T95、材质牛筋、六角耐磨减震块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T100、材质牛筋、六角耐磨减震块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T105、材质牛筋、六角耐磨减震块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T110、材质牛筋、六角耐磨减震块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六角对轮联轴器缓冲垫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T154、材质牛筋、六角耐磨减震块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八角梅花联轴器缓冲垫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GR55（60*120*27）、材质要求上乘、八角耐磨减震块</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T型八角梅花联轴器缓冲垫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T170、材质牛筋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M6，1m/根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M8，1m/根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M10，1m/根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M12，1m/根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M14，1m/根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M18，1m/根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M22，1m/根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M24，1m/根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M26，1m/根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M28，1m/根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全螺纹丝杆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M30，1m/根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颜色：中黄，25kg/桶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颜色：淡蓝，25kg/桶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颜色：象牙白，25kg/桶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颜色：黑，25kg/桶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颜色：国标色卡1274色号，25kg/桶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颜色：淡灰，25kg/桶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颜色：红，25kg/桶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颜色：孔雀蓝，25kg/桶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颜色：高温银粉，25kg/桶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颜色：艳绿，25kg/桶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颜色：深蓝，25kg/桶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颜色：黄，25kg/桶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颜色：天蓝，25kg/桶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环氧富锌面漆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1300银色、可耐高温350℃、20KG/桶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耐高温防腐漆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耐300℃金属面漆、铁红色、1L/桶；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油画笔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马毛画笔6只装；4#、6#、8#圆头平头各一只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t>油漆通用固化剂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透明通用型固化剂、1L/桶；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themeColor="text1"/>
                <w:sz w:val="18"/>
                <w:szCs w:val="18"/>
                <w:u w:val="none"/>
                <w14:textFill>
                  <w14:solidFill>
                    <w14:schemeClr w14:val="tx1"/>
                  </w14:solidFill>
                </w14:textFill>
              </w:rPr>
            </w:pP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instrText xml:space="preserve"> HYPERLINK "http://172.16.70.11/wis/mat/html/material/javascript:void(0);" \o "http://172.16.70.11/wis/mat/html/material/javascript:void(0);" </w:instrTex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separate"/>
            </w:r>
            <w:r>
              <w:rPr>
                <w:rStyle w:val="12"/>
                <w:rFonts w:hint="eastAsia" w:ascii="微软雅黑" w:hAnsi="微软雅黑" w:eastAsia="微软雅黑" w:cs="微软雅黑"/>
                <w:i w:val="0"/>
                <w:iCs w:val="0"/>
                <w:color w:val="000000" w:themeColor="text1"/>
                <w:sz w:val="18"/>
                <w:szCs w:val="18"/>
                <w:u w:val="none"/>
                <w14:textFill>
                  <w14:solidFill>
                    <w14:schemeClr w14:val="tx1"/>
                  </w14:solidFill>
                </w14:textFill>
              </w:rPr>
              <w:t>环氧富锌底漆</w:t>
            </w:r>
            <w:r>
              <w:rPr>
                <w:rFonts w:hint="eastAsia" w:ascii="微软雅黑" w:hAnsi="微软雅黑" w:eastAsia="微软雅黑" w:cs="微软雅黑"/>
                <w:i w:val="0"/>
                <w:iCs w:val="0"/>
                <w:color w:val="000000" w:themeColor="text1"/>
                <w:kern w:val="0"/>
                <w:sz w:val="18"/>
                <w:szCs w:val="18"/>
                <w:u w:val="none"/>
                <w:lang w:val="en-US" w:eastAsia="zh-CN" w:bidi="ar"/>
                <w14:textFill>
                  <w14:solidFill>
                    <w14:schemeClr w14:val="tx1"/>
                  </w14:solidFill>
                </w14:textFill>
              </w:rPr>
              <w:fldChar w:fldCharType="end"/>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松香水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10Kg/桶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黑色，可耐高温350℃，350ml/罐，12罐/箱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淡蓝色，可耐高温350℃，350ml/罐，12罐/箱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孔雀蓝色，可耐高温350℃，350ml/罐，12罐/箱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红色，可耐高温350℃，350ml/罐，12罐/箱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艳绿色，可耐高温350℃，350ml/罐，12罐/箱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自动喷漆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淡灰色，可耐高温350℃，350ml/罐，12罐/箱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油漆滚筒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油漆滚筒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油漆滚筒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油漆滚筒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油漆毛刷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油漆毛刷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油漆毛刷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油漆毛刷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油漆毛刷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油漆毛刷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油漆毛刷</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4寸</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Y11W-16P，过滤精度：40目，DN20，材质：不锈钢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PN16 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PN16 DN25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PN16 DN32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PN16 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PN16 DN65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过滤精度：80目，尺寸规格：DN80，PN16，材质：球墨铸铁，连接方式：法兰连接，长度270mm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PN16 DN100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内螺纹Y型过滤器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内螺纹式、1 1/4''、材质CF8M、PN16以上；</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DN65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内螺纹水流指示器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 DN65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DN10、1000WOG、材质304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DN20、1000WOG、材质304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DN25、1000WOG、材质304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DN32、1000WOG、材质304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 PN16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304不锈钢内丝活接头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3/4、6分活接双内丝、材质304不锈钢；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不锈钢冲孔过滤网筒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圆柱形、外径85mm、高度171mm、一层孔径约3mm的冲孔固定网、一层80目细网（DN100法兰Y型过滤器滤芯）；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不锈钢冲孔过滤网筒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圆柱形、外径43mm、高度89mm、一层孔径约2mm的冲孔固定网、一层80目细网（DN50法兰Y型过滤器滤芯）；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不锈钢冲孔过滤网筒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圆柱形、外径32mm、高度69mm、一层孔径约2mm的冲孔固定网、一层80目细网（DN32法兰Y型过滤器滤芯）；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不锈钢冲孔过滤网筒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圆柱形、外径60mm、高度130mm、一层孔径约3mm的冲孔固定网、一层80目细网（DN65法兰Y型过滤器滤芯）；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不锈钢冲孔过滤网筒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圆柱形、外径35mm、高度58mm、一层孔径约2mm的冲孔固定网、一层80目细网（DN32内螺纹Y型过滤器滤芯）；</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沉头内六角螺栓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M8×10，304；含螺母，垫片，弹簧垫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沉头内六角螺栓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M8×12，304；含螺母，垫片，弹簧垫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沉头内六角螺栓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M8×14，304；含螺母，垫片，弹簧垫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参数：M4×10，总长14mm，304；含螺母，垫片，弹簧垫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参数：M8×24，总长33mm，12.9；含螺母，垫片，弹簧垫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参数：M8×25，12.9；含螺母，垫片，弹簧垫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参数：M10×18，总长30mm，12.9；含螺母，垫片，弹簧垫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参数：M10×18，总长30mm，12.9；含螺母，垫片，弹簧垫</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内六角半牙螺栓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12.9级、M6x45，螺纹长25mm，无需配套螺母垫片等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内六角半牙螺栓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12.9级、M12x55，螺纹长40mm，无需配套螺母垫片等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内六角加长半牙螺栓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12.9级、M14x75，粗螺纹，螺纹长45mm，无需配套螺母垫片等；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内六角加长半牙螺栓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12.9级、M6x160，30mm≤螺纹长≤40mm，无需配套螺母垫片等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12.9级、M10x30，无需配套螺母垫片等；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M6X18；材质：304不锈钢；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8.8级外六角螺栓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M20*230 螺纹长65mm，配套螺母</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8.8级外六角螺栓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M20*160 螺纹长65mm，配套螺母</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8.8级金属平垫圈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内径20mm、外径60mm、厚度4mm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外六角全牙美制螺栓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美标8级=国标10.9级、1/2-20*2-1/2，只要螺杆，无需配套螺帽垫片等附件；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M12*35外六角全牙螺栓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配螺帽、平垫片、弹簧垫片，全部8.8级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M8*1.25，长度50，强度等级8.8，配套螺母、平垫片、弹簧垫片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M10*1.5，长度50，强度等级8.8，配套螺母、平垫片、弹簧垫片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M10*1.5，长度80，强度等级8.8，配套螺母、平垫片、弹簧垫片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24"/>
              </w:tabs>
              <w:jc w:val="left"/>
              <w:rPr>
                <w:rFonts w:hint="default"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eastAsia="zh-CN"/>
              </w:rPr>
              <w:tab/>
            </w: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M12*1.75，长度50，强度等级8.8，配套螺母、平垫片、弹簧垫片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M12*1.75，长度80，强度等级8.8，配套螺母、平垫片、弹簧垫片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M14*2，长度50，强度等级8.8，配套螺母、平垫片、弹簧垫片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M14*2，长度60，强度等级8.8，配套螺母、平垫片、弹簧垫片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M16*2，长度60，强度等级8.8，配套螺母、平垫片、弹簧垫片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M16*2，长度70，强度等级8.8，配套螺母、平垫片、弹簧垫片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M16*2，长度100，强度等级8.8，配套螺母、平垫片、弹簧垫片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M24*3，长度100，强度等级8.8，配套螺母、平垫片、弹簧垫片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M20*2.5，长度80，强度等级8.8，配套螺母、平垫片、弹簧垫片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M20*2.5，长度90，强度等级8.8，配套螺母、平垫片、弹簧垫片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M20*2.5，长度150，强度等级8.8，配套螺母、平垫片、弹簧垫片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M22*2.5，长度90，强度等级8.8，配套螺母、平垫片、弹簧垫片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M22*2.5，长度100，强度等级8.8，配套螺母、平垫片、弹簧垫片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M27*3，长度120，强度等级8.8，配套螺母、平垫片、弹簧垫片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M30*3.5，长度120，强度等级8.8，配套螺母、平垫片、弹簧垫片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12.9级、M8x15，只要螺杆，无需配套螺帽垫片等附件；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12.9级、M8x35，只要螺杆，无需配套螺帽垫片等附件；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12.9级、M10x25，配套螺母、平垫片、弹簧垫片；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12.9级、M10x45，配套螺母、平垫片、弹簧垫片；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12.9级、M12x80，配套螺母、平垫片、弹簧垫片；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12.9级、M16x70，配套螺母、平垫片、弹簧垫片；要求螺纹长度40mm；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12.9级、M16x90，配套螺母、平垫片、弹簧垫片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12.9级、M16x110，配套螺母、平垫片、弹簧垫片；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12.9级、M18x100，配套螺母、平垫片、弹簧垫片；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12.9级、M20x55，配套螺母、平垫片、弹簧垫片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12.9级、M20x100，配套螺母、平垫片、弹簧垫片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外六角全牙粗螺纹螺栓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12.9级、M27x100，配套螺母、平垫片、弹簧垫片；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M6×20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M7×20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M8×20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M9×20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M10×20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M11×20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M12×20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M20*2.5，长度120，强度等级8.8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M27*3，长度160，强度等级8.8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M14*2，长度60，强度等级8.8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活节螺栓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M16*2，长度120，强度等级8.8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双头螺栓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M10x40（牙长18），配套螺母、平垫片、粗螺纹、材质全为316L不锈钢；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双头螺栓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M12x45，配套螺母、平垫片、粗螺纹、材质全为316L不锈钢；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膨胀螺栓</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304不锈钢，M16*200；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螺母（锅炉）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12.9级、M36、六角粗螺纹；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螺母（锅炉）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12.9级、M42、六角粗螺纹；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反牙锁紧螺母</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M30*1.5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M30*1000全牙丝杆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配螺帽、平垫片、弹簧垫片共64套，全部8.8级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M20*1000全牙丝杆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配螺帽、平垫片、弹簧垫片共64套，全部8.8级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U型管卡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DN350。配套螺帽；</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Ø50；仓泵间卸灰阀</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孔用卡簧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C型、孔卡外径95.5mm、公称直径90mm、厚度2.5mm、材质65锰钢；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孔用卡簧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C型、孔卡外径100.5mm、公称直径95mm、厚度2.5mm、材质65锰钢；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孔用卡簧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C型、孔卡外径105.5mm、公称直径100mm、厚度2.5mm、材质65锰钢；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孔用卡簧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C型、孔卡外径112mm、公称直径105mm、厚度2.5mm、材质65锰钢；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孔用卡簧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C型、孔卡套装、公称直径8-48mm、材质65锰钢；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轴用卡簧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C型、轴卡套装、公称直径8-48mm、材质65锰钢；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T型销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φ5*40mm、平头不带孔、材质45钢淬火销轴、表面发黑处理；</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T型销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φ6*40mm、平头不带孔、材质45钢淬火销轴、表面发黑处理；</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平键销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A型平键22*14*100、材质为45#钢高强度GB1096；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内六角顶丝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12.9级、M8*12、尖头；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内六角顶丝</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12.9级、M12*25、尖头；</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激波吹灰乙炔电磁阀膜片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SCE238D004；尺寸规格：外径约68mm，中心距约70mm；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激波吹灰空气电磁阀膜片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2W-350-32；尺寸规格：外径约87mm、中心距约92mm、150度带铁芯，铁芯高52mm；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激波吹灰吹扫电磁阀膜片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2W-200-20；尺寸规格：外径约55mm、中心距约61mm、150度光膜片；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激波吹灰乙炔减压器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YQE-03（标准乙炔瓶出口）</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高压乙炔胶管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ID8mm WP.2MPa BP.6MPa;其他描述：</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减震缓冲垫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圆柱型、定制外径53*内径21*厚30mm；材质为优质天然橡胶；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定制外径53*内径21*厚3mm；材质为8.8级的优质碳钢；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金属平垫圈</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内径20mm，厚度4mm，55mm≤外径≤80mm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减震缓冲垫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圆柱型、定制外径80*内径25*厚34mm；材质为制造轮胎的优质天然橡胶；</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金属平垫片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定制外径80*内径25*厚3mm；材质为8.8级的优质碳钢；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聚氨酯缓冲器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JHQ-A14-200*200、直径200mm、高度200mm、螺栓高度45mm、螺栓直径20mm；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聚氨酯缓冲器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JHQ-A7-125*100、直径125mm、高度100mm、螺栓高度35mm、螺栓直径16mm；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法兰磁浮子液位计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UHC-7070PW-3量程0-700mm密度0.8g/cm³设计温度≤350℃设计压力10MPa法兰规格DN25PN100RF位号11LI1513配2套螺栓</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法兰磁性液位计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UHZ-661-800mm量程800mm介质温度≤350℃介质密度1.0g/cm³工作压力2.5MPa位号11LI1511连接HG/T20592 WN25(B)-25RF配2套螺栓</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法兰磁性液位计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UHZ-661-700mm量程700mm介质温度≤350℃介质密度1.0g/cm³工作压力2.5MPa位号11LI1512连接HG/T20592 DN25(B)PN25RF配2套螺栓</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220V移动电缆盘（线+盘）</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GN-806DC,30米线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380V移动电缆盘（线+盘）</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GN-805,30米线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移动照明灯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GN-D1,带防摔罩，5米线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LED灯泡12V</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E27,30W,12VAC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M4×50 A2-50 螺帽外径 7毫米 本色 含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M6×20 A2-50 本色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M7×20 A2-50 本色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M8×20 A2-50 本色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M9×20 A2-50 本色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M10×20 A2-50 本色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M11×20 A2-50 本色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M12×20 A2-50 本色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M4×60 A2-50 螺帽外径 7毫米 本色 含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GB819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M5×50 A2-50 螺杆直径4.5毫米 本色 含 平垫 弹垫 2个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GB819 十字槽盘头螺钉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GB818 十字槽盘头螺钉(H型) 不锈钢304 M5×120 A2-50 螺杆直径4.5毫米 本色 含 平垫 弹垫 2个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LDE电源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12V-400W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LDE电源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XRF-60-12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LED灯带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2835单排白光，100米装</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LED灯源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订做方形22.4*16.9cm 70w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LED灯源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订做方形17.1*13.2cm 50w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LED灯源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订做圆形直径 R12.5cm 50w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LED灯源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订做圆形直径 R17.5cm 70w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LED泛光灯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AC220V,150W, 防护等级IP67,支架式壁装，白光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LED光源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1150*19.5mm,60W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LED光源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400*18mm,30W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LED节能灯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E27，5W，白光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LED节能灯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E27，40W，白光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LED节能灯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E40，100W，白光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LED日光灯管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T8,1.2米，15W，白光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LED投光灯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AC220V,150W, 防护等级IP66，支架式吸顶安装，白光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KSX 3.5-8 14-12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PPR PVC水管钉定管卡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6分PVC水管钉定管卡高硬度钢固钩钉U型管码管钉勾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盒</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PVC穿线管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6分</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20PVC直接 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20PVC45度弯头 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PVC接头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20PVC等径三通 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RVV电缆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4*2.5mm²,100m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RVV电缆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TRVV电缆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TRVV电缆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3*1.5mm²,100m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TRVV电缆</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3*4+2*2.5mm²,100m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安全出口灯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单面，箭头向左，F633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安全出口灯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单面，箭头向右，F634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按钮头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ZB2BA3C，绿色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按钮头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ZB2BA4C，红色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壁挂投射LED灯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IP67标准150W 240V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不锈钢金刚网</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60#，1米*1米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操作手柄</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8E</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操作手柄</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16E 8*8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操作手柄</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24E10*10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侧面安装的瞬动辅助触点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4极 CAL5X-11,适用AX40-30-10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插座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五孔10A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插座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三孔16A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超五类网线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超五类屏蔽网线CAT5E FTP 4PR 24AWG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305米/箱</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触点基座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ZB2BZ105C，一开一闭</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触点模块</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ZB2BE101C，开点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触点模块</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ZB2BE102C，闭点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个</w:t>
            </w:r>
            <w:bookmarkStart w:id="17" w:name="_GoBack"/>
            <w:bookmarkEnd w:id="17"/>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穿心螺丝刀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61608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穿心螺丝刀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61605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手电</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X319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磁性急停开关防护罩</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外径Φ86*高64mm，透明</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磁性急停开关防护罩</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外径Φ42*高30mm，透明</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带灯按钮</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ZB2-BWM.C红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带灯按钮</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ZB2-BWM.C绿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单圈可调电位器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10K</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单芯铜塑线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红色1.5mm²,100m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单芯铜塑线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黄色1.5mm²,100m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单芯铜塑线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红色2.5mm²,100m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单芯铜塑线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黄色2.5mm²,100m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单芯铜塑线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红色4mm²,100m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单芯铜塑线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黄色4mm²,100m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导轨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C45系列导轨 C45铁导轨1.2厚 国标2米 根</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电池</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9V,6F22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电池</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电机保护器盒子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GV2MC02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M12*1.5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M16*1.5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M18*1.5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M20*1.5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M22*1.5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M25*1.5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M32*1.5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M36*1.5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M40*1.5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电机格兰头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尼龙塑料电缆防水接头电线锁紧密封葛兰头固定头 M50*1.5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电机接线柱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国标加厚三相电机接线板 Y2-63 -80 孔距20mm 55X36mm总高度38mm 板厚7mm螺杆高度14mm 螺杆直径M4 适配螺帽，平垫，弹垫各两个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电机接线柱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国标加厚三相电机接线板 Y2-90 -100 孔距22mm 60X38mm总高度41mm 板厚7mm 螺杆高度15mm 螺杆直径M4适配螺帽，平垫，弹垫各两个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电机接线柱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国标加厚三相电机接线板 Y2-112 -132 孔距25mm 64X40mm总高度50mm 板厚9mm 螺杆高度17mm 螺杆直径M5 适配螺帽，平垫，弹垫各两个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电机接线柱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国标加厚三相电机接线板 Y2-160 -180 短孔距78mm 长孔距110mm  105X105mm总高度72mm 板厚7mm 螺杆高度30mm 螺杆直径M6 含适配螺帽，平垫，弹垫各两个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电机接线柱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国标加厚三相电机接线板 Y2-200 -225 短孔距100mm 长孔距140mm  153X138mm总高度72mm 板厚10mm 螺杆高度34mm 螺杆直径M8 适配螺帽，平垫，弹垫各两个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电机接线柱</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国标加厚三相电机接线板 Y2-250 -280 短孔距120mm 长孔距170mm  153X153mm总高度80mm 板厚10mm 螺杆高度37mm 螺杆直径M10 适配螺帽，平垫，弹垫各两个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Y-90-4  内径 24mm 外径 150mm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Y-80-2.4  内径 19mm 外径 120mm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Y-100-4  内径 28mm 外径 150mm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Y-112-4  内径 28mm 外径 180mm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Y-132-4  内径 38mm 外径 210mm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Y-132-2  内径 38mm 外径 180 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Y-160-4  内径 43mm 外径 240mm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Y-160-2  内径 43mm 外径 210mm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Y-180-4  内径 52mm 外径 270mm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Y-225-4  内径 62mm 外径 340mm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Y-280-4  内径 80mm 外径 380mm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变频电机冷却通风机散热风扇G100A 不带外壳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变频电机冷却通风机散热风扇G112A不带外壳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变频电机冷却通风机散热风扇G132A不带外壳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变频电机冷却通风机散热风扇G160A不带外壳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变频电机冷却通风机散热风扇G180A不带外壳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电机散热风扇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变频电机冷却通风机散热风扇G200A不带外壳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镀锌钢管 HX-Q235 25mm×2.5mm×6m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镀锌钢管</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镀锌钢管 HX-Q235 φ32mm×3mm×6m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防爆灯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RLEEXL615-XL80W，LED灯，功率是80W 额定电压220V，色温5000K，防护等级IP65，防爆等级WF2，执行国标GB3836.1/.2或GB12476.1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防爆灯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RLEEXL608-XL100W  ，LED灯，功率是100W 额定电压220V，色温5000K，防护等级IP66，防爆等级WF2，执行国标GB3836.1/.2或GB12476.1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防爆泛光灯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AC220V,(EXdIICT3)100W，支架式壁装，白光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防爆照明开关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SW-10(BHZ)额定电流10A额定电压220V</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防火包 14x24</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防火泥</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公斤</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岗位式轴流风机</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0.37KW，AC220V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高压绝缘自粘胶带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XRNP-12/0.5A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工具包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KCH20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柜门活叶锁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MS705不锈钢， 柜门锁S型锁芯，配电箱门锁 锁舌类型: 方舌，中心距: 50mm 锁边距: 45mm；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柜门活页锁</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110X28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柜门活页锁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65X28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插销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插销共两根配一个，单个长度24.3cm，镀锌的，配七字锁片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行程限位开关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YBLX-ME/8108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行程限位开关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XCK-J</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行程限位开关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HL-5030 LIMIT SWITCH</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航空润滑脂</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7008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公斤</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润滑油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#3锂基脂</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华荣高压钠灯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GT002-N250 投光灯 250w   高压钠灯 黄色光 色温3000-4000K</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黄绿接地线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黄绿接地线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16mm²,100m 1卷</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活性炭海绵过滤网</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1米*1米，厚5mm，孔径30PPI</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货架收纳盒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零件盒周转箱物料盒收纳盒配件箱塑料盒胶框五金工具盒长方形   K2#620*430*230 （2个）600#600*365*150（2个）7#200*300*87（6个）    总共10个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货架收纳盒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零件盒周转箱物料盒收纳盒配件箱塑料盒胶框五金工具盒长方形600#600*365*150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货架收纳盒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零件盒周转箱物料盒收纳盒配件箱塑料盒胶框五金工具盒长方7#200*300*87</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货架收纳盒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塑料组合式零件盒物料盒元件盒螺丝盒分类收纳盒斜口塑料盒货架Q6型520*350*190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急停按钮</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LA39-B2-R22Z/r ∮40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急停按钮盒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XK-B1/-Y</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AX12 额定12A 加侧面辅助触点CAL5X-11 (1 x N.O. + 1 x N.C.)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LC1R40...N Lth：60A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LCE09...N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LC1N40M7N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LC1N50M7N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LC1N0910M7N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LC1N1210M7N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LC1N1810M7N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LC1N2510M7N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LC1D09M7C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LC1D12M7C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LC1D25M7C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LC1D50M7C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LC1D475M7C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LC1D95M7C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LC1D65M7C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交流接触器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LC1D150M7C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胶棒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11mm热熔胶棒 05216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接触器辅助触头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LANN22N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接触器辅助触头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LANN31N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接触器辅助触头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LADN20C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接触器辅助触头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LADN22C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接触器辅助触头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LADN31C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接触器辅助触头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LADN40C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绝缘橡胶垫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黑色厚3mm，宽1米,长10米，耐压6KV，带合格证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绝缘橡胶垫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红色厚5mm，宽1米,长5米，耐压10KV，带合格证</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卡固通风过滤网</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FU9804A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卡固风扇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KA1725HA2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开关防水盒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开口铜鼻子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开口铜鼻子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开口铜鼻子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开口铜鼻子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NXB-63 1P C10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GSH201 AC-C16/0.03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4P C63A vigi 30mA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3P D63A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3P C40A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3P C25A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3P C16A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2P C25A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2P C20A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2P C10A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2P C6A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 2P C2A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IC65N-DC 2P C20A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IC65N-DC 2P C16A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IC65N-DC 2P C10A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空气开关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IC65N-DC 2P C6A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控制继电器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RM22TA33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浪涌保护器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ARU2-40/385/3P+N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路灯时控开关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ZYT16G-JW</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明装插座盒</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启动按钮开关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APT LA39 系列 带绿色指示灯，带两个常开点，带自复位，</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前面安装的瞬动辅助触点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4极 CA5X-22M,适用AX40-30-10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墙壁开关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双开单控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墙壁开关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三开单控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墙壁开关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单开双控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墙上照明开关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单开墙面面板开关86型家用暗墙壁体白色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墙上照明开关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双开墙面面板开关86型家用暗墙壁体白色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墙上照明箱盖子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墙上照明箱盖 内宽354mm高132mm内高115mm左右孔距344mm宽370mm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GV2-ME06C/1-1.6A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GV2-ME10C/4-6.3A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GV2-ME14C(6-10A)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GV2-ME16C(9-14A)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GV2-ME22C/20-20-25A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GV2-ME08C2.5-4.0A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GV2-PM10 Clle:4-6.3AUe690V</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GV3P65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热磁断路器辅助触点</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GV-AD0110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LRD07C(1.6-2.5A)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LRD08C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LRD08C(2.5-4A)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LRD12C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LRD12C（4-7A)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LRD14C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LRD16C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LRD21C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LRD22C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LRD3322C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LRD3355C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LRD3357C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LRN07N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LRN08N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LRN10N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LRN12N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LRN14N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LRN16N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LRN21N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LRN22N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LRN32N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热熔胶枪</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5212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RT14-20/2A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RT14-20/6A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RT14-20/16A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RT18-32/2A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RT18-32/16A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RT18-32/32A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RT18-63/63A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熔断器底座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RT14-20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熔断器底座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RT18-32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三极插头16A</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三极插座16A</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三相四线16A扁插头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三相四线16A扁插座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三相四线25A扁插头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三相四线25A扁插座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时间继电器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H3Y-2-C TIMER 220VAC 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世达测电笔</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62501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手柄</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NSX-直接旋转手柄，LV432597</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NSC100S,100A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NSC160S，160A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NSC400K,400A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NSC630K，630A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CVS100N，35A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NM1LE-400S/4300A，315A，300mA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EZD100E 3025N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塑壳断路器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NSC60E 3040N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塑料涨塞</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停止按钮开关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APT LA39 系列 带红色指示灯，带两个常闭点，带自复位，</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DT-25mm²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DT-50mm²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DT-95mm²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DT-150mm²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DT-185mm²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铜鼻子 </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DT-240mm²</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M6×20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M7×20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M8×20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M9×20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M10×20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M11×20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外六角头螺栓套装</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304不锈钢 M12×20 含螺母 平垫 弹垫 1个</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无水酒精</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乙醇含量大于等于95%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升</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吸顶灯配件</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方形灯板配件 160*160*27mm  光通量 1710LM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限位开关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D4MC-5020-N</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限位开关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HL-5030 LIMIT SWITCH</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限位开关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LG-15-S30-2A1</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限位开关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XCKMR54D1H29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消防项箱柜门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铝合金 活页门 100*70 通用型不带玻璃</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消防项箱柜门玻璃</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消防项箱柜门玻璃90*60 通用型</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消防应急灯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F-ZFZD-E5W923</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选择开关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XB2-BD33C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圆盘LED光源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AC220V,18W, 含整流器，白光</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圆形吸顶灯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 320×320×68mm 色温 6500K适用电压180—265V 灯罩直径33厘米 底盘直径30厘米</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捕鼠笼</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粘鼠板</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国标</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针管型型线鼻子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针管型型线鼻子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针管型型线鼻子</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1.5平方线用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整流器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EUM-075S150DG 输出电流1.2A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整流器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EUM-075S151DG  输出电流1.5A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整流器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EUM-075S210DG 输出电流1.5A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整流器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EUM-100S150DG 输出电流1.2A</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直流空开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S202M  DC40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直流空开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S202M  DC16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直流空开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S202M  DC20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直流空开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S202M  DC25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直流空开</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S202M  DC50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指示灯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ND16-22D，AC/DC220V，黄</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指示灯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ND16-22D，AC/DC220V，绿</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指示灯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ND16-22D，AC/DC220V，红</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指示灯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ND16-22D，AC/DC220V，白</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智能航空障碍灯</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SF-200系列 工作电压220V 功率 10W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RXM2LB2P7，220VAC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RXM4LB2P7，220VAC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中间继电器</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RXM4LB2BD，24VDC</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1438</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中间继电器底座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RXZE1M2C 8孔底座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1439</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中间继电器底座</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RXZE1M4C 14孔底座</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1440</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中间接头</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50mm²电缆铜管中间接头 </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转换开关</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ZB2-BE101C 240V-3A 两开点同时动作</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自攻螺钉</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M5*30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包</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叉车</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5吨</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1444</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湿法板式换热器密封垫</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T35-PFM；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1445</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湿法板式换热器板片</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T35-PFM；</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1446</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PTFE覆膜，尺寸：160x6000mm（直径×长度）;</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1447</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有机硅袋笼</w:t>
            </w:r>
          </w:p>
        </w:tc>
        <w:tc>
          <w:tcPr>
            <w:tcW w:w="2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155x5980mm（直径×长度），20根条筋带托盘，袋笼材质：碳素钢。表面处理为有机硅喷涂处理，厚度80μm，有机硅</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 xml:space="preserve">                                                                </w:t>
            </w:r>
            <w:r>
              <w:rPr>
                <w:rFonts w:hint="eastAsia" w:ascii="微软雅黑" w:hAnsi="微软雅黑" w:eastAsia="微软雅黑" w:cs="微软雅黑"/>
                <w:b/>
                <w:bCs/>
                <w:i w:val="0"/>
                <w:iCs w:val="0"/>
                <w:color w:val="000000"/>
                <w:kern w:val="0"/>
                <w:sz w:val="22"/>
                <w:szCs w:val="22"/>
                <w:u w:val="none"/>
                <w:lang w:val="en-US" w:eastAsia="zh-CN" w:bidi="ar"/>
              </w:rPr>
              <w:t>单价合计金额：773063元</w:t>
            </w:r>
          </w:p>
        </w:tc>
      </w:tr>
    </w:tbl>
    <w:p>
      <w:pPr>
        <w:pStyle w:val="18"/>
        <w:ind w:left="0" w:leftChars="0" w:firstLine="0" w:firstLineChars="0"/>
        <w:rPr>
          <w:rFonts w:hint="eastAsia" w:ascii="宋体" w:hAnsi="宋体" w:cs="宋体"/>
          <w:b/>
          <w:bCs/>
          <w:i w:val="0"/>
          <w:iCs w:val="0"/>
          <w:color w:val="auto"/>
          <w:sz w:val="28"/>
          <w:szCs w:val="28"/>
          <w:highlight w:val="none"/>
          <w:lang w:val="en-US" w:eastAsia="zh-CN"/>
        </w:rPr>
      </w:pP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bookmarkStart w:id="5" w:name="_Toc29916"/>
      <w:bookmarkStart w:id="6" w:name="_Toc2740"/>
    </w:p>
    <w:p>
      <w:pPr>
        <w:pageBreakBefore w:val="0"/>
        <w:topLinePunct w:val="0"/>
        <w:bidi w:val="0"/>
        <w:spacing w:line="0" w:lineRule="atLeast"/>
        <w:ind w:left="279" w:leftChars="133" w:firstLine="3365" w:firstLineChars="1197"/>
        <w:jc w:val="both"/>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5"/>
      <w:r>
        <w:rPr>
          <w:rFonts w:hint="eastAsia" w:ascii="宋体" w:hAnsi="宋体" w:eastAsia="宋体" w:cs="宋体"/>
          <w:b/>
          <w:bCs/>
          <w:i w:val="0"/>
          <w:iCs w:val="0"/>
          <w:color w:val="auto"/>
          <w:sz w:val="28"/>
          <w:szCs w:val="28"/>
          <w:highlight w:val="none"/>
          <w:lang w:eastAsia="zh-CN"/>
        </w:rPr>
        <w:t>条款</w:t>
      </w:r>
      <w:bookmarkEnd w:id="6"/>
    </w:p>
    <w:p>
      <w:pPr>
        <w:rPr>
          <w:rFonts w:hint="eastAsia"/>
          <w:color w:val="FF0000"/>
          <w:lang w:eastAsia="zh-CN"/>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7" w:name="_Toc17126"/>
      <w:r>
        <w:rPr>
          <w:rFonts w:hint="eastAsia" w:ascii="宋体" w:hAnsi="宋体" w:eastAsia="宋体" w:cs="宋体"/>
          <w:bCs/>
          <w:i w:val="0"/>
          <w:iCs w:val="0"/>
          <w:color w:val="auto"/>
          <w:spacing w:val="4"/>
          <w:kern w:val="2"/>
          <w:sz w:val="24"/>
          <w:szCs w:val="24"/>
          <w:highlight w:val="none"/>
          <w:lang w:val="en-US" w:eastAsia="zh-CN" w:bidi="ar-SA"/>
        </w:rPr>
        <w:t>1、正式供货时间：合同签订后，以业主通知为准。</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2、供货</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两年</w:t>
      </w:r>
      <w:r>
        <w:rPr>
          <w:rFonts w:hint="eastAsia" w:cs="宋体"/>
          <w:bCs/>
          <w:i w:val="0"/>
          <w:iCs w:val="0"/>
          <w:color w:val="auto"/>
          <w:spacing w:val="4"/>
          <w:kern w:val="2"/>
          <w:sz w:val="24"/>
          <w:szCs w:val="24"/>
          <w:highlight w:val="none"/>
          <w:lang w:val="en-US" w:eastAsia="zh-CN" w:bidi="ar-SA"/>
        </w:rPr>
        <w:t>（两年内中标单价不予调整）</w:t>
      </w:r>
      <w:r>
        <w:rPr>
          <w:rFonts w:hint="eastAsia" w:ascii="宋体" w:hAnsi="宋体" w:eastAsia="宋体" w:cs="宋体"/>
          <w:bCs/>
          <w:i w:val="0"/>
          <w:iCs w:val="0"/>
          <w:color w:val="auto"/>
          <w:spacing w:val="4"/>
          <w:kern w:val="2"/>
          <w:sz w:val="24"/>
          <w:szCs w:val="24"/>
          <w:highlight w:val="none"/>
          <w:lang w:val="zh-CN"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3、</w:t>
      </w:r>
      <w:r>
        <w:rPr>
          <w:rFonts w:hint="eastAsia" w:cs="宋体"/>
          <w:bCs/>
          <w:i w:val="0"/>
          <w:iCs w:val="0"/>
          <w:color w:val="auto"/>
          <w:spacing w:val="4"/>
          <w:kern w:val="2"/>
          <w:sz w:val="24"/>
          <w:szCs w:val="24"/>
          <w:highlight w:val="none"/>
          <w:lang w:val="en-US" w:eastAsia="zh-CN" w:bidi="ar-SA"/>
        </w:rPr>
        <w:t>交货</w:t>
      </w:r>
      <w:r>
        <w:rPr>
          <w:rFonts w:hint="eastAsia" w:ascii="宋体" w:hAnsi="宋体" w:eastAsia="宋体" w:cs="宋体"/>
          <w:bCs/>
          <w:i w:val="0"/>
          <w:iCs w:val="0"/>
          <w:color w:val="auto"/>
          <w:spacing w:val="4"/>
          <w:kern w:val="2"/>
          <w:sz w:val="24"/>
          <w:szCs w:val="24"/>
          <w:highlight w:val="none"/>
          <w:lang w:val="en-US" w:eastAsia="zh-CN" w:bidi="ar-SA"/>
        </w:rPr>
        <w:t>地点：上饶市城投能源环保有限公司。</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以实际需求量按中标单价据实结算，按月付款。</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5、支付方式：包含但不限于银行转账、现金、银行承兑汇票、商业票据、保理等支付方式。</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9、质保期：收到货物</w:t>
      </w:r>
      <w:r>
        <w:rPr>
          <w:rFonts w:hint="eastAsia" w:cs="宋体"/>
          <w:bCs/>
          <w:i w:val="0"/>
          <w:iCs w:val="0"/>
          <w:color w:val="auto"/>
          <w:spacing w:val="4"/>
          <w:kern w:val="2"/>
          <w:sz w:val="24"/>
          <w:szCs w:val="24"/>
          <w:highlight w:val="none"/>
          <w:lang w:val="en-US" w:eastAsia="zh-CN" w:bidi="ar-SA"/>
        </w:rPr>
        <w:t>验收合格</w:t>
      </w:r>
      <w:r>
        <w:rPr>
          <w:rFonts w:hint="eastAsia" w:ascii="宋体" w:hAnsi="宋体" w:eastAsia="宋体" w:cs="宋体"/>
          <w:bCs/>
          <w:i w:val="0"/>
          <w:iCs w:val="0"/>
          <w:color w:val="auto"/>
          <w:spacing w:val="4"/>
          <w:kern w:val="2"/>
          <w:sz w:val="24"/>
          <w:szCs w:val="24"/>
          <w:highlight w:val="none"/>
          <w:lang w:val="en-US" w:eastAsia="zh-CN" w:bidi="ar-SA"/>
        </w:rPr>
        <w:t>之日起一年。</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10、中标人所交的货物品种、型号、规格、质量不符合招标文件规定的，招标人有权拒收货物或退货情形严重的可解除合同或罚没中标人缴纳的履约保证金</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cs="宋体"/>
          <w:bCs/>
          <w:i w:val="0"/>
          <w:iCs w:val="0"/>
          <w:color w:val="auto"/>
          <w:spacing w:val="4"/>
          <w:kern w:val="2"/>
          <w:sz w:val="24"/>
          <w:szCs w:val="24"/>
          <w:highlight w:val="none"/>
          <w:lang w:val="en-US" w:eastAsia="zh-CN" w:bidi="ar-SA"/>
        </w:rPr>
        <w:t>11、中标人未按照招标人规定时间交付货物，每逾期1天，中标人向招标人偿付逾期交货部分货款总额的1%的违约金，逾期交货超过10天，招标人有权解除合同。</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2</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sectPr>
          <w:headerReference r:id="rId4" w:type="default"/>
          <w:footerReference r:id="rId5" w:type="default"/>
          <w:pgSz w:w="11910" w:h="16840"/>
          <w:pgMar w:top="1440" w:right="1430" w:bottom="1340" w:left="1240" w:header="850" w:footer="992" w:gutter="0"/>
          <w:pgNumType w:fmt="numberInDash"/>
          <w:cols w:space="720" w:num="1"/>
          <w:rtlGutter w:val="0"/>
        </w:sectPr>
      </w:pPr>
      <w:r>
        <w:rPr>
          <w:rFonts w:hint="eastAsia" w:ascii="宋体" w:hAnsi="宋体" w:eastAsia="宋体" w:cs="宋体"/>
          <w:bCs/>
          <w:i w:val="0"/>
          <w:iCs w:val="0"/>
          <w:color w:val="auto"/>
          <w:spacing w:val="4"/>
          <w:kern w:val="2"/>
          <w:sz w:val="24"/>
          <w:szCs w:val="24"/>
          <w:highlight w:val="none"/>
          <w:lang w:val="en-US" w:eastAsia="zh-CN" w:bidi="ar-SA"/>
        </w:rPr>
        <w:t xml:space="preserve">     </w:t>
      </w:r>
    </w:p>
    <w:p>
      <w:pPr>
        <w:pageBreakBefore w:val="0"/>
        <w:widowControl/>
        <w:topLinePunct w:val="0"/>
        <w:bidi w:val="0"/>
        <w:spacing w:line="0" w:lineRule="atLeast"/>
        <w:ind w:firstLine="3012" w:firstLineChars="1000"/>
        <w:jc w:val="both"/>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7"/>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5"/>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14"/>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19"/>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8" w:name="_Toc13571"/>
      <w:r>
        <w:rPr>
          <w:rFonts w:hint="eastAsia" w:ascii="宋体" w:hAnsi="宋体" w:eastAsia="宋体" w:cs="宋体"/>
          <w:b/>
          <w:i w:val="0"/>
          <w:iCs w:val="0"/>
          <w:color w:val="auto"/>
          <w:kern w:val="0"/>
          <w:sz w:val="84"/>
          <w:szCs w:val="84"/>
          <w:highlight w:val="none"/>
          <w:lang w:bidi="ar"/>
        </w:rPr>
        <w:t>第 二 部 分</w:t>
      </w:r>
      <w:bookmarkEnd w:id="8"/>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19"/>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19"/>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19"/>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19"/>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19"/>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19"/>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19"/>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19"/>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（7）本项目不接受联合体投标【提供承诺函】。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20"/>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20"/>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20"/>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20"/>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21"/>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21"/>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21"/>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21"/>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21"/>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21"/>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2"/>
        <w:outlineLvl w:val="9"/>
        <w:rPr>
          <w:rFonts w:hint="eastAsia" w:ascii="宋体" w:hAnsi="宋体" w:eastAsia="宋体" w:cs="宋体"/>
          <w:b/>
          <w:i w:val="0"/>
          <w:iCs w:val="0"/>
          <w:color w:val="auto"/>
          <w:sz w:val="24"/>
          <w:szCs w:val="24"/>
          <w:highlight w:val="none"/>
        </w:rPr>
      </w:pPr>
    </w:p>
    <w:p>
      <w:pPr>
        <w:pStyle w:val="2"/>
        <w:spacing w:before="9"/>
        <w:outlineLvl w:val="9"/>
        <w:rPr>
          <w:rFonts w:hint="eastAsia" w:ascii="宋体" w:hAnsi="宋体" w:eastAsia="宋体" w:cs="宋体"/>
          <w:b/>
          <w:i w:val="0"/>
          <w:iCs w:val="0"/>
          <w:color w:val="auto"/>
          <w:sz w:val="24"/>
          <w:szCs w:val="24"/>
          <w:highlight w:val="none"/>
        </w:rPr>
      </w:pP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outlineLvl w:val="9"/>
        <w:rPr>
          <w:rFonts w:hint="eastAsia" w:ascii="宋体" w:hAnsi="宋体" w:eastAsia="宋体" w:cs="宋体"/>
          <w:i w:val="0"/>
          <w:iCs w:val="0"/>
          <w:color w:val="auto"/>
          <w:sz w:val="24"/>
          <w:szCs w:val="24"/>
          <w:highlight w:val="none"/>
        </w:rPr>
      </w:pPr>
    </w:p>
    <w:p>
      <w:pPr>
        <w:pStyle w:val="2"/>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2"/>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江西固诚工程咨询有限公司</w:t>
      </w:r>
    </w:p>
    <w:p>
      <w:pPr>
        <w:pStyle w:val="2"/>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2"/>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19"/>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7" w:line="480" w:lineRule="auto"/>
        <w:outlineLvl w:val="9"/>
        <w:rPr>
          <w:rFonts w:hint="eastAsia" w:ascii="宋体" w:hAnsi="宋体" w:eastAsia="宋体" w:cs="宋体"/>
          <w:color w:val="auto"/>
          <w:sz w:val="24"/>
          <w:szCs w:val="24"/>
          <w:highlight w:val="none"/>
          <w:lang w:val="en-US" w:eastAsia="zh-CN"/>
        </w:rPr>
      </w:pPr>
    </w:p>
    <w:p>
      <w:pPr>
        <w:pStyle w:val="2"/>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江西固诚工程咨询有限公司</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9"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2"/>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2"/>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22"/>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22"/>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22"/>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22"/>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22"/>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21"/>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21"/>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21"/>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7" w:type="first"/>
          <w:footerReference r:id="rId9" w:type="first"/>
          <w:headerReference r:id="rId6" w:type="default"/>
          <w:footerReference r:id="rId8"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9"/>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59264"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7216;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19"/>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w:t>
      </w:r>
      <w:r>
        <w:rPr>
          <w:rFonts w:hint="eastAsia" w:ascii="宋体" w:hAnsi="宋体" w:cs="宋体"/>
          <w:color w:val="auto"/>
          <w:sz w:val="24"/>
          <w:szCs w:val="24"/>
          <w:highlight w:val="none"/>
          <w:lang w:val="en-US" w:eastAsia="zh-CN"/>
        </w:rPr>
        <w:t>单价合计金额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4"/>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4"/>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273"/>
        <w:gridCol w:w="1275"/>
        <w:gridCol w:w="4169"/>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单价合计金额</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ind w:firstLine="1120" w:firstLineChars="400"/>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2"/>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供货时间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eastAsia"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27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eastAsia"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单价</w:t>
            </w: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21"/>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val="en-US" w:eastAsia="zh-CN"/>
        </w:rPr>
        <w:t>供货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21"/>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0" w:type="default"/>
          <w:pgSz w:w="16850" w:h="11910" w:orient="landscape"/>
          <w:pgMar w:top="1100" w:right="1060" w:bottom="920" w:left="1080" w:header="454" w:footer="721" w:gutter="0"/>
          <w:pgNumType w:fmt="numberInDash"/>
          <w:cols w:space="720" w:num="1"/>
          <w:rtlGutter w:val="0"/>
        </w:sectPr>
      </w:pPr>
      <w:bookmarkStart w:id="10" w:name="_Toc24532_WPSOffice_Level1"/>
      <w:bookmarkStart w:id="11" w:name="_Toc4180"/>
    </w:p>
    <w:bookmarkEnd w:id="10"/>
    <w:bookmarkEnd w:id="11"/>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2" w:name="_Toc475960795"/>
      <w:bookmarkStart w:id="13" w:name="_Toc23224"/>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2"/>
      <w:bookmarkEnd w:id="13"/>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4"/>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4"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21"/>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21"/>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21"/>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21"/>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21"/>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21"/>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21"/>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4"/>
    <w:p>
      <w:pPr>
        <w:pStyle w:val="3"/>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9"/>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2"/>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5" w:name="_Toc27920_WPSOffice_Level1"/>
      <w:bookmarkStart w:id="16" w:name="_Toc27"/>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5"/>
      <w:bookmarkEnd w:id="16"/>
    </w:p>
    <w:p>
      <w:pPr>
        <w:pStyle w:val="2"/>
        <w:shd w:val="clear" w:color="auto" w:fill="auto"/>
        <w:outlineLvl w:val="9"/>
        <w:rPr>
          <w:b/>
          <w:i w:val="0"/>
          <w:iCs w:val="0"/>
          <w:color w:val="auto"/>
          <w:sz w:val="20"/>
          <w:highlight w:val="none"/>
        </w:rPr>
      </w:pPr>
    </w:p>
    <w:p>
      <w:pPr>
        <w:pStyle w:val="2"/>
        <w:shd w:val="clear" w:color="auto" w:fill="auto"/>
        <w:spacing w:before="3"/>
        <w:outlineLvl w:val="9"/>
        <w:rPr>
          <w:b/>
          <w:i w:val="0"/>
          <w:iCs w:val="0"/>
          <w:color w:val="auto"/>
          <w:sz w:val="15"/>
          <w:highlight w:val="none"/>
        </w:rPr>
      </w:pPr>
    </w:p>
    <w:tbl>
      <w:tblPr>
        <w:tblStyle w:val="9"/>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23"/>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23"/>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23"/>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23"/>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23"/>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23"/>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23"/>
              <w:shd w:val="clear" w:color="auto" w:fill="auto"/>
              <w:outlineLvl w:val="9"/>
              <w:rPr>
                <w:rFonts w:ascii="Times New Roman"/>
                <w:i w:val="0"/>
                <w:iCs w:val="0"/>
                <w:color w:val="auto"/>
                <w:sz w:val="24"/>
                <w:szCs w:val="24"/>
                <w:highlight w:val="none"/>
              </w:rPr>
            </w:pPr>
          </w:p>
        </w:tc>
      </w:tr>
    </w:tbl>
    <w:p>
      <w:pPr>
        <w:pStyle w:val="2"/>
        <w:shd w:val="clear" w:color="auto" w:fill="auto"/>
        <w:outlineLvl w:val="9"/>
        <w:rPr>
          <w:b/>
          <w:i w:val="0"/>
          <w:iCs w:val="0"/>
          <w:color w:val="auto"/>
          <w:sz w:val="20"/>
          <w:highlight w:val="none"/>
        </w:rPr>
      </w:pPr>
    </w:p>
    <w:p>
      <w:pPr>
        <w:pStyle w:val="2"/>
        <w:shd w:val="clear" w:color="auto" w:fill="auto"/>
        <w:spacing w:before="12"/>
        <w:outlineLvl w:val="9"/>
        <w:rPr>
          <w:b/>
          <w:i w:val="0"/>
          <w:iCs w:val="0"/>
          <w:color w:val="auto"/>
          <w:sz w:val="19"/>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2"/>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2"/>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2"/>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shd w:val="clear" w:color="auto" w:fill="auto"/>
        <w:jc w:val="left"/>
        <w:outlineLvl w:val="9"/>
        <w:rPr>
          <w:rFonts w:hint="eastAsia" w:ascii="宋体" w:hAnsi="宋体" w:eastAsia="宋体" w:cs="宋体"/>
          <w:i w:val="0"/>
          <w:iCs w:val="0"/>
          <w:color w:val="auto"/>
          <w:kern w:val="0"/>
          <w:sz w:val="28"/>
          <w:szCs w:val="28"/>
          <w:highlight w:val="none"/>
        </w:rPr>
      </w:pPr>
    </w:p>
    <w:p>
      <w:pPr>
        <w:pStyle w:val="2"/>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p/>
    <w:p/>
    <w:p/>
    <w:sectPr>
      <w:pgSz w:w="11906" w:h="16838"/>
      <w:pgMar w:top="1440" w:right="1286" w:bottom="1440" w:left="138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rPr>
        <w:rFonts w:hAnsi="宋体" w:eastAsia="方正姚体"/>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25AA1"/>
    <w:multiLevelType w:val="singleLevel"/>
    <w:tmpl w:val="B1C25AA1"/>
    <w:lvl w:ilvl="0" w:tentative="0">
      <w:start w:val="4"/>
      <w:numFmt w:val="chineseCounting"/>
      <w:suff w:val="nothing"/>
      <w:lvlText w:val="%1、"/>
      <w:lvlJc w:val="left"/>
      <w:rPr>
        <w:rFonts w:hint="eastAsia"/>
      </w:rPr>
    </w:lvl>
  </w:abstractNum>
  <w:abstractNum w:abstractNumId="1">
    <w:nsid w:val="B8E25644"/>
    <w:multiLevelType w:val="singleLevel"/>
    <w:tmpl w:val="B8E25644"/>
    <w:lvl w:ilvl="0" w:tentative="0">
      <w:start w:val="1"/>
      <w:numFmt w:val="chineseCounting"/>
      <w:suff w:val="space"/>
      <w:lvlText w:val="第%1章"/>
      <w:lvlJc w:val="left"/>
      <w:rPr>
        <w:rFonts w:hint="eastAsia"/>
      </w:rPr>
    </w:lvl>
  </w:abstractNum>
  <w:abstractNum w:abstractNumId="2">
    <w:nsid w:val="BA3924C0"/>
    <w:multiLevelType w:val="singleLevel"/>
    <w:tmpl w:val="BA3924C0"/>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FC96583"/>
    <w:multiLevelType w:val="singleLevel"/>
    <w:tmpl w:val="5FC96583"/>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53613ED6"/>
    <w:rsid w:val="0E8817F1"/>
    <w:rsid w:val="1B3B2AD0"/>
    <w:rsid w:val="274D2D84"/>
    <w:rsid w:val="2A9A3D8C"/>
    <w:rsid w:val="31B76B81"/>
    <w:rsid w:val="33723D47"/>
    <w:rsid w:val="38E24938"/>
    <w:rsid w:val="3CDE2E4A"/>
    <w:rsid w:val="492D10AC"/>
    <w:rsid w:val="5361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5"/>
    <w:basedOn w:val="1"/>
    <w:next w:val="1"/>
    <w:qFormat/>
    <w:uiPriority w:val="1"/>
    <w:pPr>
      <w:outlineLvl w:val="4"/>
    </w:pPr>
    <w:rPr>
      <w:rFonts w:ascii="宋体" w:hAnsi="宋体" w:cs="宋体"/>
      <w:b/>
      <w:bCs/>
      <w:sz w:val="24"/>
      <w:szCs w:val="24"/>
      <w:lang w:val="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szCs w:val="24"/>
      <w:lang w:val="zh-CN" w:bidi="zh-CN"/>
    </w:rPr>
  </w:style>
  <w:style w:type="paragraph" w:styleId="4">
    <w:name w:val="Plain Text"/>
    <w:basedOn w:val="1"/>
    <w:next w:val="1"/>
    <w:qFormat/>
    <w:uiPriority w:val="0"/>
    <w:pPr>
      <w:ind w:firstLine="560" w:firstLineChars="200"/>
    </w:pPr>
    <w:rPr>
      <w:rFonts w:ascii="Calibri" w:hAnsi="Calibri" w:cs="Times New Roman"/>
      <w:szCs w:val="22"/>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1">
    <w:name w:val="Strong"/>
    <w:basedOn w:val="10"/>
    <w:qFormat/>
    <w:uiPriority w:val="0"/>
  </w:style>
  <w:style w:type="character" w:styleId="12">
    <w:name w:val="Hyperlink"/>
    <w:basedOn w:val="10"/>
    <w:qFormat/>
    <w:uiPriority w:val="0"/>
    <w:rPr>
      <w:color w:val="0000FF"/>
      <w:u w:val="single"/>
    </w:rPr>
  </w:style>
  <w:style w:type="paragraph" w:customStyle="1" w:styleId="13">
    <w:name w:val="[Normal]"/>
    <w:qFormat/>
    <w:uiPriority w:val="0"/>
    <w:rPr>
      <w:rFonts w:ascii="宋体" w:hAnsi="宋体" w:eastAsia="宋体" w:cs="Times New Roman"/>
      <w:sz w:val="24"/>
      <w:szCs w:val="22"/>
      <w:lang w:val="zh-CN" w:eastAsia="zh-CN" w:bidi="ar-SA"/>
    </w:rPr>
  </w:style>
  <w:style w:type="paragraph" w:customStyle="1" w:styleId="1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5">
    <w:name w:val="font31"/>
    <w:basedOn w:val="10"/>
    <w:qFormat/>
    <w:uiPriority w:val="0"/>
    <w:rPr>
      <w:rFonts w:hint="eastAsia" w:ascii="微软雅黑" w:hAnsi="微软雅黑" w:eastAsia="微软雅黑" w:cs="微软雅黑"/>
      <w:color w:val="000000"/>
      <w:sz w:val="20"/>
      <w:szCs w:val="20"/>
      <w:u w:val="none"/>
    </w:rPr>
  </w:style>
  <w:style w:type="character" w:customStyle="1" w:styleId="16">
    <w:name w:val="font61"/>
    <w:basedOn w:val="10"/>
    <w:qFormat/>
    <w:uiPriority w:val="0"/>
    <w:rPr>
      <w:rFonts w:hint="eastAsia" w:ascii="微软雅黑" w:hAnsi="微软雅黑" w:eastAsia="微软雅黑" w:cs="微软雅黑"/>
      <w:color w:val="000000"/>
      <w:sz w:val="20"/>
      <w:szCs w:val="20"/>
      <w:u w:val="none"/>
    </w:rPr>
  </w:style>
  <w:style w:type="character" w:customStyle="1" w:styleId="17">
    <w:name w:val="font81"/>
    <w:basedOn w:val="10"/>
    <w:qFormat/>
    <w:uiPriority w:val="0"/>
    <w:rPr>
      <w:rFonts w:hint="eastAsia" w:ascii="微软雅黑" w:hAnsi="微软雅黑" w:eastAsia="微软雅黑" w:cs="微软雅黑"/>
      <w:color w:val="000000"/>
      <w:sz w:val="20"/>
      <w:szCs w:val="20"/>
      <w:u w:val="none"/>
    </w:rPr>
  </w:style>
  <w:style w:type="paragraph" w:customStyle="1" w:styleId="18">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customStyle="1" w:styleId="19">
    <w:name w:val="标题 5（有编号）（绿盟科技）"/>
    <w:basedOn w:val="1"/>
    <w:next w:val="14"/>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1">
    <w:name w:val="纯文本1"/>
    <w:basedOn w:val="1"/>
    <w:qFormat/>
    <w:uiPriority w:val="99"/>
    <w:rPr>
      <w:rFonts w:ascii="宋体" w:hAnsi="Courier New"/>
      <w:kern w:val="0"/>
      <w:sz w:val="20"/>
    </w:rPr>
  </w:style>
  <w:style w:type="paragraph" w:styleId="22">
    <w:name w:val="List Paragraph"/>
    <w:basedOn w:val="1"/>
    <w:qFormat/>
    <w:uiPriority w:val="1"/>
    <w:pPr>
      <w:ind w:left="1303" w:firstLine="480"/>
    </w:pPr>
    <w:rPr>
      <w:rFonts w:ascii="宋体" w:hAnsi="宋体" w:cs="宋体"/>
      <w:lang w:val="zh-CN" w:bidi="zh-CN"/>
    </w:rPr>
  </w:style>
  <w:style w:type="paragraph" w:customStyle="1" w:styleId="23">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52091</Words>
  <Characters>73708</Characters>
  <Lines>0</Lines>
  <Paragraphs>0</Paragraphs>
  <TotalTime>4</TotalTime>
  <ScaleCrop>false</ScaleCrop>
  <LinksUpToDate>false</LinksUpToDate>
  <CharactersWithSpaces>76385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2022-09-15T07:40:00Z</dcterms:created>
  <dc:creator>Dr.董</dc:creator>
  <cp:lastModifiedBy>Dr.董</cp:lastModifiedBy>
  <cp:lastPrinted>2022-09-23T08:30:00Z</cp:lastPrinted>
  <dcterms:modified xsi:type="dcterms:W3CDTF">2022-09-27T07:33:03Z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94B8E5E83A194AB88539318B6726CBDB</vt:lpwstr>
  </property>
</Properties>
</file>