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sz w:val="22"/>
          <w:szCs w:val="28"/>
          <w:lang w:eastAsia="zh-CN"/>
        </w:rPr>
        <w:tab/>
      </w:r>
      <w:r>
        <w:rPr>
          <w:rFonts w:hint="eastAsia" w:ascii="宋体" w:hAnsi="宋体" w:cs="宋体"/>
          <w:b/>
          <w:bCs/>
          <w:i w:val="0"/>
          <w:iCs w:val="0"/>
          <w:color w:val="auto"/>
          <w:w w:val="80"/>
          <w:sz w:val="72"/>
          <w:szCs w:val="72"/>
          <w:highlight w:val="none"/>
          <w:lang w:val="zh-CN"/>
        </w:rPr>
        <w:t>上饶市诚源招标代理有限公司</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rPr>
          <w:rFonts w:hint="eastAsia" w:ascii="宋体" w:hAnsi="宋体" w:eastAsia="宋体" w:cs="宋体"/>
          <w:b/>
          <w:bCs/>
          <w:i w:val="0"/>
          <w:iCs w:val="0"/>
          <w:color w:val="auto"/>
          <w:w w:val="80"/>
          <w:sz w:val="56"/>
          <w:szCs w:val="56"/>
          <w:highlight w:val="none"/>
        </w:rPr>
      </w:pPr>
    </w:p>
    <w:p>
      <w:pPr>
        <w:pStyle w:val="2"/>
        <w:rPr>
          <w:rFonts w:hint="eastAsia"/>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72"/>
          <w:szCs w:val="72"/>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480" w:lineRule="auto"/>
        <w:textAlignment w:val="auto"/>
        <w:outlineLvl w:val="9"/>
        <w:rPr>
          <w:rFonts w:hint="eastAsia" w:ascii="宋体" w:hAnsi="宋体" w:cs="宋体"/>
          <w:b/>
          <w:bCs/>
          <w:i w:val="0"/>
          <w:iCs w:val="0"/>
          <w:color w:val="auto"/>
          <w:sz w:val="30"/>
          <w:szCs w:val="30"/>
          <w:highlight w:val="none"/>
          <w:u w:val="none"/>
          <w:lang w:eastAsia="zh-CN"/>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上饶市城投环保建材有限公司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596" w:leftChars="284" w:firstLine="36" w:firstLineChars="12"/>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 xml:space="preserve">上饶城投环保建材2023-2025年度炉渣运输服务采购项目 </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SRCYZB-2023-001</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上饶市诚源招标代理有限公司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-21-</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-23-</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-25-</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-36-</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footerReference r:id="rId3" w:type="default"/>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eastAsia="宋体" w:cs="宋体"/>
          <w:color w:val="333333"/>
          <w:sz w:val="24"/>
          <w:szCs w:val="24"/>
          <w:lang w:eastAsia="zh-CN"/>
        </w:rPr>
        <w:t>上饶城投环保建材2023-2025年度炉渣运输服务采购项目</w:t>
      </w:r>
      <w:r>
        <w:rPr>
          <w:rFonts w:hint="eastAsia" w:ascii="宋体" w:hAnsi="宋体" w:eastAsia="宋体" w:cs="宋体"/>
          <w:color w:val="333333"/>
          <w:sz w:val="24"/>
          <w:szCs w:val="24"/>
        </w:rPr>
        <w:t>的潜在</w:t>
      </w:r>
      <w:r>
        <w:rPr>
          <w:rFonts w:hint="eastAsia" w:ascii="宋体" w:hAnsi="宋体" w:eastAsia="宋体" w:cs="宋体"/>
          <w:b w:val="0"/>
          <w:color w:val="auto"/>
          <w:sz w:val="24"/>
          <w:szCs w:val="24"/>
          <w:highlight w:val="none"/>
        </w:rPr>
        <w:t>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w:t>
      </w:r>
      <w:r>
        <w:rPr>
          <w:rFonts w:hint="eastAsia" w:ascii="宋体" w:hAnsi="宋体" w:cs="宋体"/>
          <w:b w:val="0"/>
          <w:color w:val="auto"/>
          <w:sz w:val="24"/>
          <w:szCs w:val="24"/>
          <w:highlight w:val="none"/>
          <w:u w:val="none"/>
          <w:lang w:val="en-US" w:eastAsia="zh-CN"/>
        </w:rPr>
        <w:t>3</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3</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16</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single"/>
          <w:lang w:val="en-US" w:eastAsia="zh-CN"/>
        </w:rPr>
        <w:t>9</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上饶市阳光采购服务平台（上饶大道青蓝国际西北侧约100米上饶天恒汽车隔壁1号楼3楼）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333333"/>
          <w:sz w:val="24"/>
          <w:szCs w:val="24"/>
          <w:lang w:val="zh-CN" w:eastAsia="zh-CN"/>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eastAsia="宋体" w:cs="宋体"/>
          <w:color w:val="333333"/>
          <w:sz w:val="24"/>
          <w:szCs w:val="24"/>
          <w:lang w:val="zh-CN" w:eastAsia="zh-CN"/>
        </w:rPr>
        <w:t>：</w:t>
      </w:r>
      <w:r>
        <w:rPr>
          <w:rFonts w:hint="eastAsia" w:ascii="宋体" w:hAnsi="宋体" w:eastAsia="宋体" w:cs="宋体"/>
          <w:color w:val="333333"/>
          <w:sz w:val="24"/>
          <w:szCs w:val="24"/>
          <w:lang w:eastAsia="zh-CN"/>
        </w:rPr>
        <w:t xml:space="preserve">上饶城投环保建材2023-2025年度炉渣运输服务采购项目 </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项目类别:服务类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 xml:space="preserve">4、采购内容：上饶城投环保建材2023-2025年度炉渣运输服务采购项目 </w:t>
      </w:r>
      <w:r>
        <w:rPr>
          <w:rFonts w:hint="eastAsia" w:ascii="宋体" w:hAnsi="宋体" w:cs="宋体"/>
          <w:color w:val="auto"/>
          <w:kern w:val="0"/>
          <w:sz w:val="24"/>
          <w:szCs w:val="24"/>
          <w:highlight w:val="none"/>
          <w:lang w:val="zh-CN" w:eastAsia="zh-CN" w:bidi="ar"/>
        </w:rPr>
        <w:t>（</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color w:val="auto"/>
          <w:highlight w:val="none"/>
          <w:lang w:val="en-US" w:eastAsia="zh-CN"/>
        </w:rPr>
      </w:pP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5、</w:t>
      </w:r>
      <w:r>
        <w:rPr>
          <w:rFonts w:hint="eastAsia" w:ascii="宋体" w:hAnsi="宋体" w:eastAsia="宋体" w:cs="宋体"/>
          <w:b w:val="0"/>
          <w:bCs w:val="0"/>
          <w:color w:val="000000" w:themeColor="text1"/>
          <w:kern w:val="0"/>
          <w:sz w:val="24"/>
          <w:szCs w:val="24"/>
          <w:highlight w:val="none"/>
          <w:lang w:val="zh-CN" w:eastAsia="zh-CN" w:bidi="ar"/>
          <w14:textFill>
            <w14:solidFill>
              <w14:schemeClr w14:val="tx1"/>
            </w14:solidFill>
          </w14:textFill>
        </w:rPr>
        <w:t>预算金额：</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单价金额：</w:t>
      </w:r>
      <w:r>
        <w:rPr>
          <w:rFonts w:hint="eastAsia" w:ascii="宋体" w:hAnsi="宋体" w:cs="宋体"/>
          <w:b w:val="0"/>
          <w:bCs w:val="0"/>
          <w:color w:val="000000" w:themeColor="text1"/>
          <w:spacing w:val="4"/>
          <w:kern w:val="0"/>
          <w:sz w:val="24"/>
          <w:lang w:val="en-US" w:eastAsia="zh-CN"/>
          <w14:textFill>
            <w14:solidFill>
              <w14:schemeClr w14:val="tx1"/>
            </w14:solidFill>
          </w14:textFill>
        </w:rPr>
        <w:t>5.5元/吨</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；总金额：约165万元。</w:t>
      </w:r>
    </w:p>
    <w:p>
      <w:pPr>
        <w:pStyle w:val="2"/>
        <w:ind w:firstLine="480" w:firstLineChars="200"/>
        <w:rPr>
          <w:rFonts w:hint="eastAsia"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6、服务期限：三年。</w:t>
      </w:r>
    </w:p>
    <w:p>
      <w:pPr>
        <w:pStyle w:val="2"/>
        <w:ind w:firstLine="480" w:firstLineChars="200"/>
        <w:rPr>
          <w:rFonts w:hint="default"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b/>
          <w:color w:val="000000" w:themeColor="text1"/>
          <w:sz w:val="24"/>
          <w:lang w:val="en-US" w:eastAsia="zh-CN"/>
          <w14:textFill>
            <w14:solidFill>
              <w14:schemeClr w14:val="tx1"/>
            </w14:solidFill>
          </w14:textFill>
        </w:rPr>
        <w:t>年运输量约为10万吨，投标人须以单价金额进行报价</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报价包含保养费、运输费、</w:t>
      </w:r>
      <w:r>
        <w:rPr>
          <w:rFonts w:hint="eastAsia" w:cs="宋体"/>
          <w:b/>
          <w:bCs/>
          <w:color w:val="auto"/>
          <w:kern w:val="0"/>
          <w:sz w:val="24"/>
          <w:szCs w:val="24"/>
          <w:highlight w:val="none"/>
          <w:lang w:val="en-US" w:eastAsia="zh-CN" w:bidi="ar"/>
        </w:rPr>
        <w:t>装卸</w:t>
      </w:r>
      <w:r>
        <w:rPr>
          <w:rFonts w:hint="eastAsia" w:ascii="宋体" w:hAnsi="宋体" w:cs="宋体"/>
          <w:b/>
          <w:bCs/>
          <w:color w:val="auto"/>
          <w:kern w:val="0"/>
          <w:sz w:val="24"/>
          <w:szCs w:val="24"/>
          <w:highlight w:val="none"/>
          <w:lang w:val="en-US" w:eastAsia="zh-CN" w:bidi="ar"/>
        </w:rPr>
        <w:t>费、验收费、保险费、管理费、税金等一切费用。</w:t>
      </w:r>
      <w:r>
        <w:rPr>
          <w:rFonts w:hint="eastAsia" w:ascii="宋体" w:hAnsi="宋体" w:cs="宋体"/>
          <w:color w:val="auto"/>
          <w:kern w:val="0"/>
          <w:sz w:val="24"/>
          <w:szCs w:val="24"/>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2021年度或2022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2、本项目不接受联合体投标；不接受挂靠企业；【提供承诺函】。</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3、投标人需提供行政主管部门颁发有效的《道路运输经营许可证》。</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27 </w:t>
      </w:r>
      <w:r>
        <w:rPr>
          <w:rFonts w:hint="eastAsia" w:ascii="宋体" w:hAnsi="宋体" w:cs="宋体"/>
          <w:kern w:val="0"/>
          <w:sz w:val="24"/>
          <w:szCs w:val="24"/>
          <w:lang w:val="en-US" w:eastAsia="zh-CN"/>
        </w:rPr>
        <w:t>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 xml:space="preserve">16  9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3</w:t>
      </w:r>
      <w:r>
        <w:rPr>
          <w:rFonts w:hint="eastAsia" w:ascii="宋体" w:hAnsi="宋体" w:cs="宋体"/>
          <w:kern w:val="0"/>
          <w:sz w:val="24"/>
          <w:szCs w:val="24"/>
          <w:lang w:val="en-US" w:eastAsia="zh-CN"/>
        </w:rPr>
        <w:t>-</w:t>
      </w:r>
      <w:r>
        <w:rPr>
          <w:rFonts w:hint="eastAsia" w:cs="宋体"/>
          <w:kern w:val="0"/>
          <w:sz w:val="24"/>
          <w:szCs w:val="24"/>
          <w:lang w:val="en-US" w:eastAsia="zh-CN"/>
        </w:rPr>
        <w:t>16 9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上饶市城投环保建材有限公司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：杜佰成  13768768484  </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上饶市诚源招标代理有限公司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江西省上饶市信州区茶圣花园7幢一单元3302</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董德杰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15979363004</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董德杰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15979363004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2023年</w:t>
      </w:r>
      <w:r>
        <w:rPr>
          <w:rFonts w:hint="eastAsia" w:ascii="宋体" w:hAnsi="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27</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（3）投标人进入公共场所对不遵守相关规定、强行进入办公（场所）区域、扰乱办公（场所）秩序的人员，有权予以劝离，造成严重后果的，将依法依规追究相关法律责任。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pageBreakBefore w:val="0"/>
        <w:topLinePunct w:val="0"/>
        <w:bidi w:val="0"/>
        <w:snapToGrid w:val="0"/>
        <w:spacing w:beforeLines="20" w:afterLines="20" w:line="0" w:lineRule="atLeast"/>
        <w:ind w:right="-105" w:rightChars="-50"/>
        <w:jc w:val="both"/>
        <w:textAlignment w:val="auto"/>
        <w:outlineLvl w:val="1"/>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eastAsia="宋体" w:cs="宋体"/>
                <w:color w:val="333333"/>
                <w:sz w:val="24"/>
                <w:szCs w:val="24"/>
                <w:lang w:eastAsia="zh-CN"/>
              </w:rPr>
              <w:t xml:space="preserve">上饶城投环保建材2023-2025年度炉渣运输服务采购项目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SRCYZB-2023-001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上饶市诚源招标代理有限公司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江西省上饶市信州区茶圣花园7幢一单元3</w:t>
            </w:r>
            <w:r>
              <w:rPr>
                <w:rFonts w:hint="eastAsia" w:ascii="宋体" w:hAnsi="宋体" w:cs="宋体"/>
                <w:i w:val="0"/>
                <w:iCs w:val="0"/>
                <w:color w:val="auto"/>
                <w:kern w:val="0"/>
                <w:sz w:val="24"/>
                <w:szCs w:val="24"/>
                <w:highlight w:val="none"/>
                <w:lang w:val="en-US" w:eastAsia="zh-CN" w:bidi="ar"/>
              </w:rPr>
              <w:t>1</w:t>
            </w:r>
            <w:r>
              <w:rPr>
                <w:rFonts w:hint="eastAsia" w:ascii="宋体" w:hAnsi="宋体" w:cs="宋体"/>
                <w:i w:val="0"/>
                <w:iCs w:val="0"/>
                <w:color w:val="auto"/>
                <w:kern w:val="0"/>
                <w:sz w:val="24"/>
                <w:szCs w:val="24"/>
                <w:highlight w:val="none"/>
                <w:lang w:val="zh-CN" w:eastAsia="zh-CN" w:bidi="ar"/>
              </w:rPr>
              <w:t>02；</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董德杰 15979363004</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贰万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2</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w:t>
            </w:r>
            <w:r>
              <w:rPr>
                <w:rFonts w:hint="eastAsia" w:ascii="宋体" w:hAnsi="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3</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16</w:t>
            </w:r>
            <w:r>
              <w:rPr>
                <w:rFonts w:hint="eastAsia" w:ascii="宋体" w:hAnsi="宋体" w:eastAsia="宋体" w:cs="宋体"/>
                <w:b w:val="0"/>
                <w:color w:val="auto"/>
                <w:sz w:val="24"/>
                <w:szCs w:val="24"/>
                <w:highlight w:val="none"/>
                <w:lang w:eastAsia="zh-CN"/>
              </w:rPr>
              <w:t>日</w:t>
            </w:r>
            <w:r>
              <w:rPr>
                <w:rFonts w:hint="eastAsia" w:ascii="宋体" w:hAnsi="宋体" w:eastAsia="宋体" w:cs="宋体"/>
                <w:b w:val="0"/>
                <w:color w:val="auto"/>
                <w:sz w:val="24"/>
                <w:szCs w:val="24"/>
                <w:highlight w:val="none"/>
                <w:lang w:val="en-US" w:eastAsia="zh-CN"/>
              </w:rPr>
              <w:t>9</w:t>
            </w:r>
            <w:r>
              <w:rPr>
                <w:rFonts w:hint="eastAsia" w:ascii="宋体" w:hAnsi="宋体" w:cs="宋体"/>
                <w:bCs/>
                <w:i w:val="0"/>
                <w:iCs w:val="0"/>
                <w:color w:val="auto"/>
                <w:spacing w:val="4"/>
                <w:kern w:val="2"/>
                <w:sz w:val="24"/>
                <w:szCs w:val="24"/>
                <w:highlight w:val="non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账号：2031 4330 0001 1228 80</w:t>
            </w:r>
            <w:bookmarkStart w:id="17" w:name="_GoBack"/>
            <w:bookmarkEnd w:id="17"/>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1、项目类别：服务类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上饶市城投环保建材有限公司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上饶市诚源招标代理有限公司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投标保证金的退还按阳光采购服务平台相关规定办理。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lang w:bidi="ar"/>
        </w:rPr>
        <w:t xml:space="preserve">27.3 评分细则： </w:t>
      </w:r>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86"/>
        <w:gridCol w:w="7688"/>
        <w:gridCol w:w="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1486" w:type="dxa"/>
            <w:tcBorders>
              <w:top w:val="single" w:color="auto" w:sz="4" w:space="0"/>
              <w:left w:val="single" w:color="auto" w:sz="4" w:space="0"/>
              <w:bottom w:val="single" w:color="auto" w:sz="4" w:space="0"/>
              <w:right w:val="single" w:color="auto" w:sz="4" w:space="0"/>
              <w:tl2br w:val="single" w:color="auto" w:sz="4" w:space="0"/>
            </w:tcBorders>
          </w:tcPr>
          <w:p>
            <w:pPr>
              <w:widowControl/>
              <w:ind w:left="562" w:hanging="562" w:hanging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细</w:t>
            </w:r>
            <w:r>
              <w:rPr>
                <w:rFonts w:hint="eastAsia" w:ascii="仿宋" w:hAnsi="仿宋" w:eastAsia="仿宋" w:cs="仿宋"/>
                <w:b/>
                <w:bCs/>
                <w:color w:val="000000" w:themeColor="text1"/>
                <w:sz w:val="28"/>
                <w:szCs w:val="28"/>
                <w14:textFill>
                  <w14:solidFill>
                    <w14:schemeClr w14:val="tx1"/>
                  </w14:solidFill>
                </w14:textFill>
              </w:rPr>
              <w:t xml:space="preserve">则 </w:t>
            </w:r>
          </w:p>
          <w:p>
            <w:pPr>
              <w:widowControl/>
              <w:rPr>
                <w:rFonts w:hint="eastAsia" w:ascii="仿宋" w:hAnsi="仿宋" w:eastAsia="仿宋" w:cs="仿宋"/>
                <w:b/>
                <w:bCs/>
                <w:color w:val="000000" w:themeColor="text1"/>
                <w:sz w:val="28"/>
                <w:szCs w:val="28"/>
                <w14:textFill>
                  <w14:solidFill>
                    <w14:schemeClr w14:val="tx1"/>
                  </w14:solidFill>
                </w14:textFill>
              </w:rPr>
            </w:pPr>
          </w:p>
          <w:p>
            <w:pPr>
              <w:widowControl/>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w:t>
            </w:r>
          </w:p>
        </w:tc>
        <w:tc>
          <w:tcPr>
            <w:tcW w:w="7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评分细则</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价格分</w:t>
            </w:r>
          </w:p>
          <w:p>
            <w:pPr>
              <w:spacing w:line="360" w:lineRule="exact"/>
              <w:rPr>
                <w:rFonts w:hint="eastAsia"/>
                <w:color w:val="000000" w:themeColor="text1"/>
                <w:kern w:val="1"/>
                <w:sz w:val="24"/>
                <w14:textFill>
                  <w14:solidFill>
                    <w14:schemeClr w14:val="tx1"/>
                  </w14:solidFill>
                </w14:textFill>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30</w:t>
            </w:r>
            <w:r>
              <w:rPr>
                <w:rFonts w:hint="eastAsia" w:ascii="宋体" w:hAnsi="宋体" w:eastAsia="宋体" w:cs="宋体"/>
                <w:i w:val="0"/>
                <w:iCs w:val="0"/>
                <w:color w:val="auto"/>
                <w:kern w:val="0"/>
                <w:sz w:val="24"/>
                <w:szCs w:val="24"/>
                <w:highlight w:val="none"/>
                <w:lang w:bidi="ar"/>
              </w:rPr>
              <w:t>分）</w:t>
            </w:r>
          </w:p>
        </w:tc>
        <w:tc>
          <w:tcPr>
            <w:tcW w:w="7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满足招标文件要求且投标价格最低的投标报价为评标基准价，其价格分为满分。其它投标方的价格统一按照下列公式计算：（最后结果保留二位小数，第三位四舍五入）。</w:t>
            </w:r>
          </w:p>
          <w:p>
            <w:pPr>
              <w:spacing w:line="360" w:lineRule="exact"/>
              <w:rPr>
                <w:rFonts w:hint="eastAsia" w:ascii="宋体" w:hAnsi="宋体" w:cs="宋体"/>
                <w:kern w:val="0"/>
                <w:sz w:val="24"/>
                <w:lang w:bidi="ar"/>
              </w:rPr>
            </w:pPr>
            <w:r>
              <w:rPr>
                <w:rFonts w:hint="eastAsia" w:ascii="宋体" w:hAnsi="宋体" w:cs="宋体"/>
                <w:kern w:val="0"/>
                <w:sz w:val="24"/>
                <w:lang w:bidi="ar"/>
              </w:rPr>
              <w:t>投标报价得分=(评标基准价/投标报价)×</w:t>
            </w:r>
            <w:r>
              <w:rPr>
                <w:rFonts w:hint="eastAsia" w:ascii="宋体" w:hAnsi="宋体" w:cs="宋体"/>
                <w:kern w:val="0"/>
                <w:sz w:val="24"/>
                <w:lang w:val="en-US" w:eastAsia="zh-CN" w:bidi="ar"/>
              </w:rPr>
              <w:t>3</w:t>
            </w:r>
            <w:r>
              <w:rPr>
                <w:rFonts w:hint="eastAsia" w:ascii="宋体" w:hAnsi="宋体" w:cs="宋体"/>
                <w:kern w:val="0"/>
                <w:sz w:val="24"/>
                <w:lang w:bidi="ar"/>
              </w:rPr>
              <w:t>0%×100</w:t>
            </w:r>
          </w:p>
          <w:p>
            <w:pPr>
              <w:spacing w:line="360" w:lineRule="exact"/>
              <w:rPr>
                <w:rFonts w:hint="eastAsia"/>
                <w:color w:val="000000" w:themeColor="text1"/>
                <w:kern w:val="1"/>
                <w:sz w:val="24"/>
                <w14:textFill>
                  <w14:solidFill>
                    <w14:schemeClr w14:val="tx1"/>
                  </w14:solidFill>
                </w14:textFill>
              </w:rPr>
            </w:pPr>
            <w:r>
              <w:rPr>
                <w:rFonts w:hint="eastAsia" w:ascii="宋体" w:hAnsi="宋体" w:eastAsia="宋体" w:cs="宋体"/>
                <w:b/>
                <w:bCs/>
                <w:i w:val="0"/>
                <w:iCs w:val="0"/>
                <w:color w:val="auto"/>
                <w:kern w:val="0"/>
                <w:sz w:val="24"/>
                <w:szCs w:val="24"/>
                <w:highlight w:val="none"/>
                <w:lang w:bidi="ar"/>
              </w:rPr>
              <w:t>注：</w:t>
            </w:r>
            <w:r>
              <w:rPr>
                <w:rFonts w:hint="eastAsia" w:ascii="宋体" w:hAnsi="宋体" w:eastAsia="宋体" w:cs="宋体"/>
                <w:b/>
                <w:bCs/>
                <w:i w:val="0"/>
                <w:iCs w:val="0"/>
                <w:color w:val="auto"/>
                <w:kern w:val="0"/>
                <w:sz w:val="24"/>
                <w:szCs w:val="24"/>
                <w:highlight w:val="none"/>
                <w:lang w:val="en-US" w:eastAsia="zh-CN" w:bidi="ar"/>
              </w:rPr>
              <w:t>投标人投标报价不得超过单价的最高限价，投标报价以单价为准；单价最高限价为5.5元；未按单价进行报价的，将视为无效投标。</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jc w:val="both"/>
              <w:rPr>
                <w:rFonts w:hint="default" w:eastAsia="宋体"/>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486" w:type="dxa"/>
            <w:vMerge w:val="restart"/>
            <w:tcBorders>
              <w:top w:val="single" w:color="auto" w:sz="4" w:space="0"/>
              <w:left w:val="single" w:color="auto" w:sz="4" w:space="0"/>
              <w:right w:val="single" w:color="auto" w:sz="4" w:space="0"/>
            </w:tcBorders>
            <w:vAlign w:val="center"/>
          </w:tcPr>
          <w:p>
            <w:pPr>
              <w:spacing w:line="360" w:lineRule="exact"/>
              <w:ind w:firstLine="240" w:firstLineChars="100"/>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技术</w:t>
            </w: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分</w:t>
            </w:r>
          </w:p>
          <w:p>
            <w:pPr>
              <w:spacing w:line="360" w:lineRule="exact"/>
              <w:rPr>
                <w:rFonts w:hint="eastAsia"/>
                <w:color w:val="000000" w:themeColor="text1"/>
                <w:kern w:val="1"/>
                <w:sz w:val="24"/>
                <w14:textFill>
                  <w14:solidFill>
                    <w14:schemeClr w14:val="tx1"/>
                  </w14:solidFill>
                </w14:textFill>
              </w:rPr>
            </w:pP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w:t>
            </w:r>
            <w:r>
              <w:rPr>
                <w:rFonts w:hint="eastAsia" w:cs="Times New Roman"/>
                <w:color w:val="000000" w:themeColor="text1"/>
                <w:kern w:val="1"/>
                <w:sz w:val="24"/>
                <w:szCs w:val="24"/>
                <w:lang w:val="en-US" w:eastAsia="zh-CN" w:bidi="ar-SA"/>
                <w14:textFill>
                  <w14:solidFill>
                    <w14:schemeClr w14:val="tx1"/>
                  </w14:solidFill>
                </w14:textFill>
              </w:rPr>
              <w:t>42</w:t>
            </w: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分）</w:t>
            </w:r>
          </w:p>
        </w:tc>
        <w:tc>
          <w:tcPr>
            <w:tcW w:w="7688" w:type="dxa"/>
            <w:tcBorders>
              <w:top w:val="single" w:color="auto" w:sz="4" w:space="0"/>
              <w:left w:val="single" w:color="auto" w:sz="4" w:space="0"/>
              <w:right w:val="single" w:color="auto" w:sz="4" w:space="0"/>
            </w:tcBorders>
            <w:vAlign w:val="center"/>
          </w:tcPr>
          <w:p>
            <w:pPr>
              <w:spacing w:line="360" w:lineRule="exact"/>
              <w:rPr>
                <w:rFonts w:hint="default"/>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1、技术响应（10分）</w:t>
            </w:r>
          </w:p>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投标人全部满足或响应招标文件“技术参数”的得10分，</w:t>
            </w:r>
            <w:r>
              <w:rPr>
                <w:rFonts w:hint="eastAsia" w:ascii="宋体" w:hAnsi="宋体" w:cs="宋体"/>
                <w:kern w:val="0"/>
                <w:sz w:val="24"/>
                <w:lang w:bidi="ar"/>
              </w:rPr>
              <w:t>一项不满足按无效投标处理。</w:t>
            </w:r>
          </w:p>
          <w:p>
            <w:pPr>
              <w:spacing w:line="360" w:lineRule="exact"/>
              <w:rPr>
                <w:rFonts w:hint="eastAsia" w:eastAsiaTheme="minorEastAsia"/>
                <w:color w:val="000000" w:themeColor="text1"/>
                <w:kern w:val="1"/>
                <w:sz w:val="24"/>
                <w:lang w:val="en-US" w:eastAsia="zh-CN"/>
                <w14:textFill>
                  <w14:solidFill>
                    <w14:schemeClr w14:val="tx1"/>
                  </w14:solidFill>
                </w14:textFill>
              </w:rPr>
            </w:pPr>
            <w:r>
              <w:rPr>
                <w:rFonts w:hint="eastAsia" w:ascii="宋体" w:hAnsi="宋体" w:cs="宋体"/>
                <w:b/>
                <w:bCs/>
                <w:kern w:val="0"/>
                <w:sz w:val="24"/>
                <w:lang w:bidi="ar"/>
              </w:rPr>
              <w:t>评审依据：提供技术参数偏离表加盖投标人公章</w:t>
            </w:r>
            <w:r>
              <w:rPr>
                <w:rFonts w:hint="eastAsia" w:ascii="宋体" w:hAnsi="宋体" w:cs="宋体"/>
                <w:b/>
                <w:bCs/>
                <w:kern w:val="0"/>
                <w:sz w:val="24"/>
                <w:lang w:eastAsia="zh-CN" w:bidi="ar"/>
              </w:rPr>
              <w:t>。</w:t>
            </w:r>
          </w:p>
        </w:tc>
        <w:tc>
          <w:tcPr>
            <w:tcW w:w="70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jc w:val="both"/>
              <w:rPr>
                <w:rFonts w:hint="default" w:eastAsia="宋体"/>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2" w:hRule="atLeast"/>
        </w:trPr>
        <w:tc>
          <w:tcPr>
            <w:tcW w:w="1486" w:type="dxa"/>
            <w:vMerge w:val="continue"/>
            <w:tcBorders>
              <w:left w:val="single" w:color="auto" w:sz="4" w:space="0"/>
              <w:right w:val="single" w:color="auto" w:sz="4" w:space="0"/>
            </w:tcBorders>
            <w:vAlign w:val="center"/>
          </w:tcPr>
          <w:p>
            <w:pPr>
              <w:spacing w:line="360" w:lineRule="exact"/>
              <w:rPr>
                <w:rFonts w:hint="eastAsia"/>
                <w:color w:val="000000" w:themeColor="text1"/>
                <w:kern w:val="1"/>
                <w:sz w:val="24"/>
                <w14:textFill>
                  <w14:solidFill>
                    <w14:schemeClr w14:val="tx1"/>
                  </w14:solidFill>
                </w14:textFill>
              </w:rPr>
            </w:pPr>
          </w:p>
        </w:tc>
        <w:tc>
          <w:tcPr>
            <w:tcW w:w="7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2、运输计划及应急预案（4分）</w:t>
            </w:r>
          </w:p>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①、道路运输中道路交通事故应急措施。</w:t>
            </w:r>
          </w:p>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②、道路运输应急防范措施。</w:t>
            </w:r>
          </w:p>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③、安排运输人员及项目管理职责分工。</w:t>
            </w:r>
          </w:p>
          <w:p>
            <w:pPr>
              <w:spacing w:line="360" w:lineRule="exact"/>
              <w:rPr>
                <w:rFonts w:hint="default"/>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④、总体运输方案。</w:t>
            </w:r>
          </w:p>
          <w:p>
            <w:pPr>
              <w:spacing w:line="360" w:lineRule="exact"/>
              <w:rPr>
                <w:rFonts w:hint="eastAsia"/>
                <w:color w:val="000000" w:themeColor="text1"/>
                <w:lang w:val="en-US" w:eastAsia="zh-CN"/>
                <w14:textFill>
                  <w14:solidFill>
                    <w14:schemeClr w14:val="tx1"/>
                  </w14:solidFill>
                </w14:textFill>
              </w:rPr>
            </w:pPr>
            <w:r>
              <w:rPr>
                <w:rFonts w:hint="eastAsia"/>
                <w:b/>
                <w:bCs/>
                <w:color w:val="000000" w:themeColor="text1"/>
                <w:kern w:val="1"/>
                <w:sz w:val="24"/>
                <w:lang w:val="en-US" w:eastAsia="zh-CN"/>
                <w14:textFill>
                  <w14:solidFill>
                    <w14:schemeClr w14:val="tx1"/>
                  </w14:solidFill>
                </w14:textFill>
              </w:rPr>
              <w:t>评分依据：每提供一项计划或方案的得1分，最多得4分，文不对题或不提供的则该项不得分。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220" w:firstLineChars="100"/>
              <w:jc w:val="both"/>
              <w:rPr>
                <w:rFonts w:hint="default"/>
                <w:color w:val="000000" w:themeColor="text1"/>
                <w:kern w:val="1"/>
                <w:sz w:val="22"/>
                <w:szCs w:val="22"/>
                <w:lang w:val="en-US" w:eastAsia="zh-CN"/>
                <w14:textFill>
                  <w14:solidFill>
                    <w14:schemeClr w14:val="tx1"/>
                  </w14:solidFill>
                </w14:textFill>
              </w:rPr>
            </w:pPr>
            <w:r>
              <w:rPr>
                <w:rFonts w:hint="eastAsia"/>
                <w:color w:val="000000" w:themeColor="text1"/>
                <w:kern w:val="1"/>
                <w:sz w:val="22"/>
                <w:szCs w:val="22"/>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1486" w:type="dxa"/>
            <w:vMerge w:val="continue"/>
            <w:tcBorders>
              <w:left w:val="single" w:color="auto" w:sz="4" w:space="0"/>
              <w:right w:val="single" w:color="auto" w:sz="4" w:space="0"/>
            </w:tcBorders>
            <w:vAlign w:val="center"/>
          </w:tcPr>
          <w:p>
            <w:pPr>
              <w:spacing w:line="360" w:lineRule="exact"/>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p>
        </w:tc>
        <w:tc>
          <w:tcPr>
            <w:tcW w:w="76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hint="default"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3、技术能力保障28分)</w:t>
            </w:r>
          </w:p>
          <w:p>
            <w:pPr>
              <w:numPr>
                <w:ilvl w:val="0"/>
                <w:numId w:val="0"/>
              </w:numPr>
              <w:spacing w:line="360" w:lineRule="exact"/>
              <w:rPr>
                <w:rFonts w:hint="eastAsia"/>
                <w:color w:val="000000" w:themeColor="text1"/>
                <w:kern w:val="1"/>
                <w:sz w:val="24"/>
                <w14:textFill>
                  <w14:solidFill>
                    <w14:schemeClr w14:val="tx1"/>
                  </w14:solidFill>
                </w14:textFill>
              </w:rPr>
            </w:pPr>
            <w:r>
              <w:rPr>
                <w:rFonts w:hint="eastAsia"/>
                <w:color w:val="000000" w:themeColor="text1"/>
                <w:kern w:val="1"/>
                <w:sz w:val="24"/>
                <w14:textFill>
                  <w14:solidFill>
                    <w14:schemeClr w14:val="tx1"/>
                  </w14:solidFill>
                </w14:textFill>
              </w:rPr>
              <w:t>主要</w:t>
            </w:r>
            <w:r>
              <w:rPr>
                <w:rFonts w:hint="eastAsia"/>
                <w:color w:val="000000" w:themeColor="text1"/>
                <w:kern w:val="1"/>
                <w:sz w:val="24"/>
                <w:lang w:val="en-US" w:eastAsia="zh-CN"/>
                <w14:textFill>
                  <w14:solidFill>
                    <w14:schemeClr w14:val="tx1"/>
                  </w14:solidFill>
                </w14:textFill>
              </w:rPr>
              <w:t>运输</w:t>
            </w:r>
            <w:r>
              <w:rPr>
                <w:rFonts w:hint="eastAsia"/>
                <w:color w:val="000000" w:themeColor="text1"/>
                <w:kern w:val="1"/>
                <w:sz w:val="24"/>
                <w14:textFill>
                  <w14:solidFill>
                    <w14:schemeClr w14:val="tx1"/>
                  </w14:solidFill>
                </w14:textFill>
              </w:rPr>
              <w:t>设备（</w:t>
            </w:r>
            <w:r>
              <w:rPr>
                <w:rFonts w:hint="eastAsia"/>
                <w:color w:val="000000" w:themeColor="text1"/>
                <w:kern w:val="1"/>
                <w:sz w:val="24"/>
                <w:lang w:val="en-US" w:eastAsia="zh-CN"/>
                <w14:textFill>
                  <w14:solidFill>
                    <w14:schemeClr w14:val="tx1"/>
                  </w14:solidFill>
                </w14:textFill>
              </w:rPr>
              <w:t>28</w:t>
            </w:r>
            <w:r>
              <w:rPr>
                <w:rFonts w:hint="eastAsia"/>
                <w:color w:val="000000" w:themeColor="text1"/>
                <w:kern w:val="1"/>
                <w:sz w:val="24"/>
                <w14:textFill>
                  <w14:solidFill>
                    <w14:schemeClr w14:val="tx1"/>
                  </w14:solidFill>
                </w14:textFill>
              </w:rPr>
              <w:t>分）</w:t>
            </w:r>
          </w:p>
          <w:p>
            <w:pPr>
              <w:spacing w:line="360" w:lineRule="exact"/>
              <w:rPr>
                <w:rFonts w:hint="eastAsia"/>
                <w:color w:val="000000" w:themeColor="text1"/>
                <w:lang w:val="en-US" w:eastAsia="zh-CN"/>
                <w14:textFill>
                  <w14:solidFill>
                    <w14:schemeClr w14:val="tx1"/>
                  </w14:solidFill>
                </w14:textFill>
              </w:rPr>
            </w:pPr>
            <w:r>
              <w:rPr>
                <w:rFonts w:hint="eastAsia"/>
                <w:color w:val="000000" w:themeColor="text1"/>
                <w:kern w:val="1"/>
                <w:sz w:val="24"/>
                <w14:textFill>
                  <w14:solidFill>
                    <w14:schemeClr w14:val="tx1"/>
                  </w14:solidFill>
                </w14:textFill>
              </w:rPr>
              <w:t>主要</w:t>
            </w:r>
            <w:r>
              <w:rPr>
                <w:rFonts w:hint="eastAsia"/>
                <w:color w:val="000000" w:themeColor="text1"/>
                <w:kern w:val="1"/>
                <w:sz w:val="24"/>
                <w:lang w:val="en-US" w:eastAsia="zh-CN"/>
                <w14:textFill>
                  <w14:solidFill>
                    <w14:schemeClr w14:val="tx1"/>
                  </w14:solidFill>
                </w14:textFill>
              </w:rPr>
              <w:t>运输</w:t>
            </w:r>
            <w:r>
              <w:rPr>
                <w:rFonts w:hint="eastAsia"/>
                <w:color w:val="000000" w:themeColor="text1"/>
                <w:kern w:val="1"/>
                <w:sz w:val="24"/>
                <w14:textFill>
                  <w14:solidFill>
                    <w14:schemeClr w14:val="tx1"/>
                  </w14:solidFill>
                </w14:textFill>
              </w:rPr>
              <w:t>设备配备齐全，</w:t>
            </w:r>
            <w:r>
              <w:rPr>
                <w:rFonts w:hint="eastAsia"/>
                <w:color w:val="000000" w:themeColor="text1"/>
                <w:kern w:val="1"/>
                <w:sz w:val="24"/>
                <w:lang w:val="en-US" w:eastAsia="zh-CN"/>
                <w14:textFill>
                  <w14:solidFill>
                    <w14:schemeClr w14:val="tx1"/>
                  </w14:solidFill>
                </w14:textFill>
              </w:rPr>
              <w:t>配置了核定载质量≥15.5吨重型自卸车的，每提供一辆得4分；10吨≤核定载质量＜15.5吨重型自卸车的，每提供一辆得2分，最高得28分。</w:t>
            </w:r>
          </w:p>
          <w:p>
            <w:pPr>
              <w:numPr>
                <w:ilvl w:val="0"/>
                <w:numId w:val="0"/>
              </w:numPr>
              <w:spacing w:line="360" w:lineRule="exact"/>
              <w:rPr>
                <w:rFonts w:hint="eastAsia"/>
                <w:color w:val="000000" w:themeColor="text1"/>
                <w:kern w:val="1"/>
                <w:sz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1"/>
                <w:sz w:val="24"/>
                <w:szCs w:val="24"/>
                <w:lang w:val="en-US" w:eastAsia="zh-CN" w:bidi="ar-SA"/>
                <w14:textFill>
                  <w14:solidFill>
                    <w14:schemeClr w14:val="tx1"/>
                  </w14:solidFill>
                </w14:textFill>
              </w:rPr>
              <w:t>评审依据：</w:t>
            </w:r>
            <w:r>
              <w:rPr>
                <w:rFonts w:hint="eastAsia" w:cs="Times New Roman"/>
                <w:b/>
                <w:bCs/>
                <w:color w:val="000000" w:themeColor="text1"/>
                <w:kern w:val="1"/>
                <w:sz w:val="24"/>
                <w:szCs w:val="24"/>
                <w:lang w:val="en-US" w:eastAsia="zh-CN" w:bidi="ar-SA"/>
                <w14:textFill>
                  <w14:solidFill>
                    <w14:schemeClr w14:val="tx1"/>
                  </w14:solidFill>
                </w14:textFill>
              </w:rPr>
              <w:t>提供投标人自有的</w:t>
            </w:r>
            <w:r>
              <w:rPr>
                <w:rFonts w:hint="eastAsia"/>
                <w:b/>
                <w:bCs/>
                <w:color w:val="000000" w:themeColor="text1"/>
                <w:kern w:val="1"/>
                <w:sz w:val="24"/>
                <w:lang w:val="en-US" w:eastAsia="zh-CN"/>
                <w14:textFill>
                  <w14:solidFill>
                    <w14:schemeClr w14:val="tx1"/>
                  </w14:solidFill>
                </w14:textFill>
              </w:rPr>
              <w:t>运输车辆机动车行驶证</w:t>
            </w:r>
            <w:r>
              <w:rPr>
                <w:rFonts w:hint="eastAsia" w:cs="Times New Roman"/>
                <w:b/>
                <w:bCs/>
                <w:color w:val="000000" w:themeColor="text1"/>
                <w:kern w:val="1"/>
                <w:sz w:val="24"/>
                <w:szCs w:val="24"/>
                <w:lang w:val="en-US" w:eastAsia="zh-CN" w:bidi="ar-SA"/>
                <w14:textFill>
                  <w14:solidFill>
                    <w14:schemeClr w14:val="tx1"/>
                  </w14:solidFill>
                </w14:textFill>
              </w:rPr>
              <w:t>、驾驶证、经营性道路货物运输驾驶员证、</w:t>
            </w:r>
            <w:r>
              <w:rPr>
                <w:rFonts w:hint="eastAsia" w:ascii="宋体" w:hAnsi="宋体" w:cs="宋体"/>
                <w:b/>
                <w:bCs/>
                <w:color w:val="000000" w:themeColor="text1"/>
                <w:kern w:val="0"/>
                <w:sz w:val="24"/>
                <w:lang w:val="en-US" w:eastAsia="zh-CN" w:bidi="ar"/>
                <w14:textFill>
                  <w14:solidFill>
                    <w14:schemeClr w14:val="tx1"/>
                  </w14:solidFill>
                </w14:textFill>
              </w:rPr>
              <w:t>投标人为驾驶员缴纳的近6个月任意一个月社保缴费证明（挂网前）</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。以上材料复印件加盖公章</w:t>
            </w:r>
            <w:r>
              <w:rPr>
                <w:rFonts w:hint="eastAsia"/>
                <w:b/>
                <w:bCs/>
                <w:color w:val="000000" w:themeColor="text1"/>
                <w:kern w:val="1"/>
                <w:sz w:val="24"/>
                <w:lang w:val="en-US" w:eastAsia="zh-CN"/>
                <w14:textFill>
                  <w14:solidFill>
                    <w14:schemeClr w14:val="tx1"/>
                  </w14:solidFill>
                </w14:textFill>
              </w:rPr>
              <w:t>，原件备查，未提供原件则不得分。</w:t>
            </w:r>
          </w:p>
        </w:tc>
        <w:tc>
          <w:tcPr>
            <w:tcW w:w="0" w:type="auto"/>
            <w:tcBorders>
              <w:top w:val="single" w:color="auto" w:sz="4" w:space="0"/>
              <w:left w:val="single" w:color="auto" w:sz="4" w:space="0"/>
              <w:right w:val="single" w:color="auto" w:sz="4" w:space="0"/>
            </w:tcBorders>
            <w:vAlign w:val="center"/>
          </w:tcPr>
          <w:p>
            <w:pPr>
              <w:spacing w:line="360" w:lineRule="exact"/>
              <w:ind w:firstLine="220" w:firstLineChars="100"/>
              <w:jc w:val="both"/>
              <w:rPr>
                <w:rFonts w:hint="default"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1"/>
                <w:sz w:val="22"/>
                <w:szCs w:val="22"/>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1" w:hRule="atLeast"/>
        </w:trPr>
        <w:tc>
          <w:tcPr>
            <w:tcW w:w="1486"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商务分</w:t>
            </w:r>
          </w:p>
          <w:p>
            <w:pPr>
              <w:spacing w:line="360" w:lineRule="exact"/>
              <w:jc w:val="cente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w:t>
            </w:r>
            <w:r>
              <w:rPr>
                <w:rFonts w:hint="eastAsia" w:cs="Times New Roman"/>
                <w:color w:val="000000" w:themeColor="text1"/>
                <w:kern w:val="1"/>
                <w:sz w:val="24"/>
                <w:szCs w:val="24"/>
                <w:lang w:val="en-US" w:eastAsia="zh-CN" w:bidi="ar-SA"/>
                <w14:textFill>
                  <w14:solidFill>
                    <w14:schemeClr w14:val="tx1"/>
                  </w14:solidFill>
                </w14:textFill>
              </w:rPr>
              <w:t xml:space="preserve"> 28</w:t>
            </w:r>
            <w: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t>分）</w:t>
            </w:r>
          </w:p>
        </w:tc>
        <w:tc>
          <w:tcPr>
            <w:tcW w:w="7688"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商务响应（10分）</w:t>
            </w:r>
          </w:p>
          <w:p>
            <w:pPr>
              <w:spacing w:line="360" w:lineRule="exact"/>
              <w:rPr>
                <w:rFonts w:hint="eastAsia"/>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投标人全部满足或响应招标文件“商务条款要求”的得10分，</w:t>
            </w:r>
            <w:r>
              <w:rPr>
                <w:rFonts w:hint="eastAsia" w:ascii="宋体" w:hAnsi="宋体" w:cs="宋体"/>
                <w:kern w:val="0"/>
                <w:sz w:val="24"/>
                <w:lang w:bidi="ar"/>
              </w:rPr>
              <w:t>一项不满足按无效投标处理。</w:t>
            </w:r>
          </w:p>
          <w:p>
            <w:pPr>
              <w:spacing w:line="360" w:lineRule="exact"/>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ascii="宋体" w:hAnsi="宋体" w:cs="宋体"/>
                <w:b/>
                <w:bCs/>
                <w:kern w:val="0"/>
                <w:sz w:val="24"/>
                <w:lang w:bidi="ar"/>
              </w:rPr>
              <w:t>评审依据：提供</w:t>
            </w:r>
            <w:r>
              <w:rPr>
                <w:rFonts w:hint="eastAsia" w:ascii="宋体" w:hAnsi="宋体" w:cs="宋体"/>
                <w:b/>
                <w:bCs/>
                <w:kern w:val="0"/>
                <w:sz w:val="24"/>
                <w:lang w:val="en-US" w:eastAsia="zh-CN" w:bidi="ar"/>
              </w:rPr>
              <w:t>商务</w:t>
            </w:r>
            <w:r>
              <w:rPr>
                <w:rFonts w:hint="eastAsia" w:ascii="宋体" w:hAnsi="宋体" w:cs="宋体"/>
                <w:b/>
                <w:bCs/>
                <w:kern w:val="0"/>
                <w:sz w:val="24"/>
                <w:lang w:bidi="ar"/>
              </w:rPr>
              <w:t>偏离表加盖投标人公章</w:t>
            </w:r>
            <w:r>
              <w:rPr>
                <w:rFonts w:hint="eastAsia" w:ascii="宋体" w:hAnsi="宋体" w:cs="宋体"/>
                <w:b/>
                <w:bCs/>
                <w:kern w:val="0"/>
                <w:sz w:val="24"/>
                <w:lang w:eastAsia="zh-CN" w:bidi="ar"/>
              </w:rPr>
              <w:t>。</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1486" w:type="dxa"/>
            <w:vMerge w:val="continue"/>
            <w:tcBorders>
              <w:left w:val="single" w:color="auto" w:sz="4" w:space="0"/>
              <w:right w:val="single" w:color="auto" w:sz="4" w:space="0"/>
            </w:tcBorders>
            <w:vAlign w:val="center"/>
          </w:tcPr>
          <w:p>
            <w:pPr>
              <w:spacing w:line="360" w:lineRule="exact"/>
              <w:jc w:val="center"/>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p>
        </w:tc>
        <w:tc>
          <w:tcPr>
            <w:tcW w:w="76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color w:val="000000" w:themeColor="text1"/>
                <w:kern w:val="1"/>
                <w:sz w:val="24"/>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2、</w:t>
            </w:r>
            <w:r>
              <w:rPr>
                <w:rFonts w:hint="eastAsia"/>
                <w:color w:val="000000" w:themeColor="text1"/>
                <w:kern w:val="1"/>
                <w:sz w:val="24"/>
                <w14:textFill>
                  <w14:solidFill>
                    <w14:schemeClr w14:val="tx1"/>
                  </w14:solidFill>
                </w14:textFill>
              </w:rPr>
              <w:t>类似项目业绩（</w:t>
            </w:r>
            <w:r>
              <w:rPr>
                <w:rFonts w:hint="eastAsia"/>
                <w:color w:val="000000" w:themeColor="text1"/>
                <w:kern w:val="1"/>
                <w:sz w:val="24"/>
                <w:lang w:val="en-US" w:eastAsia="zh-CN"/>
                <w14:textFill>
                  <w14:solidFill>
                    <w14:schemeClr w14:val="tx1"/>
                  </w14:solidFill>
                </w14:textFill>
              </w:rPr>
              <w:t>12</w:t>
            </w:r>
            <w:r>
              <w:rPr>
                <w:rFonts w:hint="eastAsia"/>
                <w:color w:val="000000" w:themeColor="text1"/>
                <w:kern w:val="1"/>
                <w:sz w:val="24"/>
                <w14:textFill>
                  <w14:solidFill>
                    <w14:schemeClr w14:val="tx1"/>
                  </w14:solidFill>
                </w14:textFill>
              </w:rPr>
              <w:t>分）</w:t>
            </w:r>
          </w:p>
          <w:p>
            <w:pPr>
              <w:spacing w:line="360" w:lineRule="exact"/>
              <w:rPr>
                <w:rFonts w:hint="default" w:eastAsia="宋体"/>
                <w:color w:val="000000" w:themeColor="text1"/>
                <w:kern w:val="1"/>
                <w:sz w:val="24"/>
                <w:lang w:val="en-US" w:eastAsia="zh-CN"/>
                <w14:textFill>
                  <w14:solidFill>
                    <w14:schemeClr w14:val="tx1"/>
                  </w14:solidFill>
                </w14:textFill>
              </w:rPr>
            </w:pPr>
            <w:r>
              <w:rPr>
                <w:rFonts w:hint="eastAsia"/>
                <w:color w:val="000000" w:themeColor="text1"/>
                <w:kern w:val="1"/>
                <w:sz w:val="24"/>
                <w:lang w:val="en-US" w:eastAsia="zh-CN"/>
                <w14:textFill>
                  <w14:solidFill>
                    <w14:schemeClr w14:val="tx1"/>
                  </w14:solidFill>
                </w14:textFill>
              </w:rPr>
              <w:t>投标人近三年内承接过类似的运输业绩的</w:t>
            </w:r>
            <w:r>
              <w:rPr>
                <w:rFonts w:hint="eastAsia"/>
                <w:color w:val="000000" w:themeColor="text1"/>
                <w:kern w:val="1"/>
                <w:sz w:val="24"/>
                <w:lang w:eastAsia="zh-CN"/>
                <w14:textFill>
                  <w14:solidFill>
                    <w14:schemeClr w14:val="tx1"/>
                  </w14:solidFill>
                </w14:textFill>
              </w:rPr>
              <w:t>每份得</w:t>
            </w:r>
            <w:r>
              <w:rPr>
                <w:rFonts w:hint="eastAsia"/>
                <w:color w:val="000000" w:themeColor="text1"/>
                <w:kern w:val="1"/>
                <w:sz w:val="24"/>
                <w:lang w:val="en-US" w:eastAsia="zh-CN"/>
                <w14:textFill>
                  <w14:solidFill>
                    <w14:schemeClr w14:val="tx1"/>
                  </w14:solidFill>
                </w14:textFill>
              </w:rPr>
              <w:t>3</w:t>
            </w:r>
            <w:r>
              <w:rPr>
                <w:rFonts w:hint="eastAsia"/>
                <w:color w:val="000000" w:themeColor="text1"/>
                <w:kern w:val="1"/>
                <w:sz w:val="24"/>
                <w14:textFill>
                  <w14:solidFill>
                    <w14:schemeClr w14:val="tx1"/>
                  </w14:solidFill>
                </w14:textFill>
              </w:rPr>
              <w:t>分</w:t>
            </w:r>
            <w:r>
              <w:rPr>
                <w:rFonts w:hint="eastAsia"/>
                <w:color w:val="000000" w:themeColor="text1"/>
                <w:kern w:val="1"/>
                <w:sz w:val="24"/>
                <w:lang w:eastAsia="zh-CN"/>
                <w14:textFill>
                  <w14:solidFill>
                    <w14:schemeClr w14:val="tx1"/>
                  </w14:solidFill>
                </w14:textFill>
              </w:rPr>
              <w:t>，最多得</w:t>
            </w:r>
            <w:r>
              <w:rPr>
                <w:rFonts w:hint="eastAsia"/>
                <w:color w:val="000000" w:themeColor="text1"/>
                <w:kern w:val="1"/>
                <w:sz w:val="24"/>
                <w:lang w:val="en-US" w:eastAsia="zh-CN"/>
                <w14:textFill>
                  <w14:solidFill>
                    <w14:schemeClr w14:val="tx1"/>
                  </w14:solidFill>
                </w14:textFill>
              </w:rPr>
              <w:t>12分。</w:t>
            </w:r>
          </w:p>
          <w:p>
            <w:pPr>
              <w:spacing w:line="360" w:lineRule="exact"/>
              <w:rPr>
                <w:rFonts w:hint="eastAsia" w:cs="Times New Roman"/>
                <w:color w:val="000000" w:themeColor="text1"/>
                <w:kern w:val="1"/>
                <w:sz w:val="24"/>
                <w:szCs w:val="24"/>
                <w:lang w:val="en-US" w:eastAsia="zh-CN" w:bidi="ar-SA"/>
                <w14:textFill>
                  <w14:solidFill>
                    <w14:schemeClr w14:val="tx1"/>
                  </w14:solidFill>
                </w14:textFill>
              </w:rPr>
            </w:pPr>
            <w:r>
              <w:rPr>
                <w:rFonts w:hint="eastAsia" w:ascii="宋体" w:hAnsi="宋体" w:cs="宋体"/>
                <w:b/>
                <w:bCs/>
                <w:kern w:val="0"/>
                <w:sz w:val="24"/>
                <w:lang w:val="en-US" w:eastAsia="zh-CN" w:bidi="ar"/>
              </w:rPr>
              <w:t>评审依据：须提供合同复印件，原件备查，未提供原件不得分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1486" w:type="dxa"/>
            <w:vMerge w:val="continue"/>
            <w:tcBorders>
              <w:left w:val="single" w:color="auto" w:sz="4" w:space="0"/>
              <w:right w:val="single" w:color="auto" w:sz="4" w:space="0"/>
            </w:tcBorders>
            <w:vAlign w:val="center"/>
          </w:tcPr>
          <w:p>
            <w:pPr>
              <w:spacing w:line="360" w:lineRule="exact"/>
              <w:rPr>
                <w:rFonts w:hint="eastAsia" w:ascii="Times New Roman" w:hAnsi="Times New Roman" w:eastAsia="宋体" w:cs="Times New Roman"/>
                <w:color w:val="000000" w:themeColor="text1"/>
                <w:kern w:val="1"/>
                <w:sz w:val="24"/>
                <w:szCs w:val="24"/>
                <w:lang w:val="en-US" w:eastAsia="zh-CN" w:bidi="ar-SA"/>
                <w14:textFill>
                  <w14:solidFill>
                    <w14:schemeClr w14:val="tx1"/>
                  </w14:solidFill>
                </w14:textFill>
              </w:rPr>
            </w:pPr>
          </w:p>
        </w:tc>
        <w:tc>
          <w:tcPr>
            <w:tcW w:w="768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hint="eastAsia"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3、服务响应时间（6分）</w:t>
            </w:r>
          </w:p>
          <w:p>
            <w:pPr>
              <w:numPr>
                <w:ilvl w:val="0"/>
                <w:numId w:val="0"/>
              </w:numPr>
              <w:spacing w:line="360" w:lineRule="exact"/>
              <w:rPr>
                <w:rFonts w:hint="eastAsia"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投标人在1小时内响应的得6分；2小时内响应的得4分；超过3小时的得2分。</w:t>
            </w:r>
          </w:p>
          <w:p>
            <w:pPr>
              <w:numPr>
                <w:ilvl w:val="0"/>
                <w:numId w:val="0"/>
              </w:numPr>
              <w:spacing w:line="360" w:lineRule="exact"/>
              <w:rPr>
                <w:rFonts w:hint="default" w:cs="Times New Roman"/>
                <w:color w:val="000000" w:themeColor="text1"/>
                <w:kern w:val="1"/>
                <w:sz w:val="24"/>
                <w:szCs w:val="24"/>
                <w:lang w:val="en-US" w:eastAsia="zh-CN" w:bidi="ar-SA"/>
                <w14:textFill>
                  <w14:solidFill>
                    <w14:schemeClr w14:val="tx1"/>
                  </w14:solidFill>
                </w14:textFill>
              </w:rPr>
            </w:pPr>
            <w:r>
              <w:rPr>
                <w:rFonts w:hint="eastAsia"/>
                <w:b/>
                <w:bCs/>
                <w:kern w:val="1"/>
                <w:sz w:val="24"/>
                <w:lang w:val="en-US" w:eastAsia="zh-CN"/>
              </w:rPr>
              <w:t>评审依据：提供投标人至采购人行车路线图截图加盖投标人公章及响应承诺函原件，未提供不得分。</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kern w:val="1"/>
                <w:sz w:val="24"/>
                <w:szCs w:val="24"/>
                <w:lang w:val="en-US" w:eastAsia="zh-CN" w:bidi="ar-SA"/>
                <w14:textFill>
                  <w14:solidFill>
                    <w14:schemeClr w14:val="tx1"/>
                  </w14:solidFill>
                </w14:textFill>
              </w:rPr>
            </w:pPr>
            <w:r>
              <w:rPr>
                <w:rFonts w:hint="eastAsia" w:cs="Times New Roman"/>
                <w:color w:val="000000" w:themeColor="text1"/>
                <w:kern w:val="1"/>
                <w:sz w:val="24"/>
                <w:szCs w:val="24"/>
                <w:lang w:val="en-US" w:eastAsia="zh-CN" w:bidi="ar-SA"/>
                <w14:textFill>
                  <w14:solidFill>
                    <w14:schemeClr w14:val="tx1"/>
                  </w14:solidFill>
                </w14:textFill>
              </w:rPr>
              <w:t>6</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numPr>
          <w:ilvl w:val="0"/>
          <w:numId w:val="0"/>
        </w:numPr>
        <w:adjustRightInd w:val="0"/>
        <w:snapToGrid w:val="0"/>
        <w:spacing w:line="336" w:lineRule="auto"/>
        <w:jc w:val="center"/>
        <w:outlineLvl w:val="0"/>
        <w:rPr>
          <w:rFonts w:hint="eastAsia" w:ascii="宋体" w:hAnsi="宋体" w:cs="宋体"/>
          <w:b/>
          <w:sz w:val="33"/>
        </w:rPr>
      </w:pPr>
      <w:bookmarkStart w:id="4" w:name="_Toc292271385"/>
      <w:r>
        <w:rPr>
          <w:rFonts w:hint="eastAsia" w:ascii="宋体" w:hAnsi="宋体" w:cs="宋体"/>
          <w:b/>
          <w:sz w:val="33"/>
          <w:lang w:val="en-US" w:eastAsia="zh-CN"/>
        </w:rPr>
        <w:t xml:space="preserve">第三章  </w:t>
      </w:r>
      <w:r>
        <w:rPr>
          <w:rFonts w:hint="eastAsia" w:ascii="宋体" w:hAnsi="宋体" w:cs="宋体"/>
          <w:b/>
          <w:sz w:val="33"/>
        </w:rPr>
        <w:t>技术参数及商务条款</w:t>
      </w:r>
      <w:bookmarkEnd w:id="4"/>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r>
        <w:rPr>
          <w:rFonts w:hint="eastAsia" w:ascii="宋体" w:hAnsi="宋体" w:cs="宋体"/>
          <w:b/>
          <w:bCs/>
          <w:i w:val="0"/>
          <w:iCs w:val="0"/>
          <w:color w:val="auto"/>
          <w:sz w:val="28"/>
          <w:szCs w:val="28"/>
          <w:highlight w:val="none"/>
          <w:lang w:val="en-US" w:eastAsia="zh-CN"/>
        </w:rPr>
        <w:t>一、技术参数</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bookmarkStart w:id="5" w:name="_Toc29916"/>
      <w:bookmarkStart w:id="6" w:name="_Toc2740"/>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1、项目概况</w:t>
      </w:r>
    </w:p>
    <w:p>
      <w:pPr>
        <w:pStyle w:val="4"/>
        <w:keepNext w:val="0"/>
        <w:keepLines w:val="0"/>
        <w:pageBreakBefore w:val="0"/>
        <w:kinsoku/>
        <w:wordWrap/>
        <w:overflowPunct/>
        <w:topLinePunct w:val="0"/>
        <w:autoSpaceDE/>
        <w:autoSpaceDN/>
        <w:bidi w:val="0"/>
        <w:adjustRightInd/>
        <w:snapToGrid/>
        <w:spacing w:before="120" w:beforeLines="50" w:after="120" w:afterLines="50" w:line="360" w:lineRule="exact"/>
        <w:ind w:left="0" w:leftChars="0" w:firstLine="0" w:firstLineChars="0"/>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1.1、项目名称：上饶城投环保建材2023-2025年度炉渣运输服务采购项目 </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exac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1.2、运输距离：约</w:t>
      </w:r>
      <w:r>
        <w:rPr>
          <w:rFonts w:hint="eastAsia" w:cs="Times New Roman"/>
          <w:color w:val="000000" w:themeColor="text1"/>
          <w:kern w:val="2"/>
          <w:sz w:val="24"/>
          <w:szCs w:val="24"/>
          <w:lang w:val="en-US" w:eastAsia="zh-CN" w:bidi="ar-SA"/>
          <w14:textFill>
            <w14:solidFill>
              <w14:schemeClr w14:val="tx1"/>
            </w14:solidFill>
          </w14:textFill>
        </w:rPr>
        <w:t>1200</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米。</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2、工作内容：炉渣清运工作。</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2.1为确保炉渣清运工作安全环保、有序、高效运转，结合本厂当前实际情况，对整个清运流程工作进行全面标准化、规范化管理。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2.2炉渣是由生活垃圾焚烧后从炉床直接排出的残渣，以及过热器和省煤器排出的灰渣。这些俗称的炉渣会由出渣口直接卸料到渣池。炉渣是垃圾在炉膛内通过850℃以上高温焚烧后的产物，再排到渣池中。渣池中注有一定高度的捞渣机排水，可以起到将炉渣降温的效用。</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2.3渣库现场配备两台规格8T-7.9m型号的起重渣吊，由取得特种设备操作人员证书资质的2名工作人员担任司机，在整个炉渣清运过程中，渣吊司机会先将池中早期排出的炉渣进行堆放滤水，再将其抓至渣车外运。炉渣应在“安全、环保”的前提下实现综合利用，清运过程中必须采用密封良好的运输车辆，避免在运输过程中对环境造成二次污染然。同时，在每台炉出渣时，会联系现场专业检测人员，进行马弗炉实验，确保炉渣热灼减率符合GB18485要求，重金属毒性检测应符合GB5085.3要求。</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2.4运输时间必须绝对服从发电厂运渣需求，24小时待命</w:t>
      </w:r>
      <w:r>
        <w:rPr>
          <w:rFonts w:hint="eastAsia" w:ascii="宋体" w:hAnsi="宋体" w:cs="Times New Roman"/>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如采购人电话通知，白天30分钟内，晚上45分钟内要响应。必须配备不少于四台运输车辆及专职司机。负责炉渣外运的专职司机必须取得A2等级</w:t>
      </w:r>
      <w:r>
        <w:rPr>
          <w:rFonts w:hint="eastAsia" w:ascii="宋体" w:hAnsi="宋体" w:cs="Times New Roman"/>
          <w:color w:val="000000" w:themeColor="text1"/>
          <w:kern w:val="2"/>
          <w:sz w:val="24"/>
          <w:szCs w:val="24"/>
          <w:lang w:val="en-US" w:eastAsia="zh-CN" w:bidi="ar-SA"/>
          <w14:textFill>
            <w14:solidFill>
              <w14:schemeClr w14:val="tx1"/>
            </w14:solidFill>
          </w14:textFill>
        </w:rPr>
        <w:t>及</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以上驾驶证，且专职司机须购买100万的人身意外保险。在渣车外运过程中，必须按照厂区内指定路线行驶，加强司机道路交通安全意识，不定期的组织渣车司机开展交通安全培训学习。负责炉渣清运的承包单位必须建立完善的交通、运输管理规定，定期对清运渣车进行安全性能检测，检测不合格的车辆不得使用。确保运输车辆车况良好，车容整洁，车辆尾气、噪声及冲洗水符合国家、地方政府机动车的排放标准；车辆进入现场减速慢行，不鸣喇叭，听从甲方现场有关管理人员的指挥；车辆进场后如有泥浆、渣土等污物，清洗后退场。在废弃炉渣装卸过程中尽量减少噪音和粉尘，严禁野蛮装卸（注;中标人须按照采购人要求进行装卸）。</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2.5炉渣清运出厂时会通过地磅称重系统，对车次、重量记录登记。运输过程中，车辆必须密封、防水、无渗漏，保证无跑冒滴漏现象。按照约定的时间、装卸地点进行装卸运输，避免对环境敏感区产生影响。同时，整个运输过程中未经许可不得将炉渣在场外进行转存或堆放，不得将炉渣违规倾倒、丢弃、遗撒。炉渣贮存场所应设有可靠的防雨、除尘设施。尽量使废弃炉渣得到最大限度的回收利用，且不得造成二次污染。</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2.6渣池应建立完善的安全生产和应急管理体系，设置环保监督管理部门或现场监督人员，负责对炉渣的处理处置过程中的安全环保卫生管理。每日出渣工作结束后，需安排人员对场地及清运路线进行全面巡查，如有滴漏及时进行地面卫生清洗工作，保证环境整洁。</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s="Times New Roman"/>
          <w:color w:val="000000" w:themeColor="text1"/>
          <w:kern w:val="2"/>
          <w:sz w:val="24"/>
          <w:szCs w:val="24"/>
          <w:lang w:val="en-US" w:eastAsia="zh-CN" w:bidi="ar-SA"/>
          <w14:textFill>
            <w14:solidFill>
              <w14:schemeClr w14:val="tx1"/>
            </w14:solidFill>
          </w14:textFill>
        </w:rPr>
        <w:t>2.7在运输、卸货过程中的安全管理由中标人负责，造成的安全事故或损失由中标人自行处理和负担，采购人不予承担任何责任。</w:t>
      </w:r>
    </w:p>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w:t>
      </w:r>
      <w:r>
        <w:rPr>
          <w:rFonts w:hint="eastAsia" w:eastAsia="宋体" w:cs="宋体"/>
          <w:bCs/>
          <w:i w:val="0"/>
          <w:iCs w:val="0"/>
          <w:color w:val="auto"/>
          <w:spacing w:val="4"/>
          <w:kern w:val="2"/>
          <w:sz w:val="24"/>
          <w:szCs w:val="24"/>
          <w:highlight w:val="none"/>
          <w:lang w:val="en-US" w:eastAsia="zh-CN" w:bidi="ar-SA"/>
        </w:rPr>
        <w:t>服务</w:t>
      </w:r>
      <w:r>
        <w:rPr>
          <w:rFonts w:hint="eastAsia" w:ascii="宋体" w:hAnsi="宋体" w:eastAsia="宋体" w:cs="宋体"/>
          <w:bCs/>
          <w:i w:val="0"/>
          <w:iCs w:val="0"/>
          <w:color w:val="auto"/>
          <w:spacing w:val="4"/>
          <w:kern w:val="2"/>
          <w:sz w:val="24"/>
          <w:szCs w:val="24"/>
          <w:highlight w:val="none"/>
          <w:lang w:val="en-US" w:eastAsia="zh-CN" w:bidi="ar-SA"/>
        </w:rPr>
        <w:t>时间：合同签订后，以业主通知为准。</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i w:val="0"/>
          <w:iCs w:val="0"/>
          <w:color w:val="auto"/>
          <w:spacing w:val="4"/>
          <w:kern w:val="2"/>
          <w:sz w:val="24"/>
          <w:szCs w:val="24"/>
          <w:highlight w:val="none"/>
          <w:lang w:val="en-US" w:eastAsia="zh-CN" w:bidi="ar-SA"/>
        </w:rPr>
        <w:t>2、</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服务期限： </w:t>
      </w:r>
      <w:r>
        <w:rPr>
          <w:rFonts w:hint="eastAsia" w:cs="Times New Roman"/>
          <w:color w:val="000000" w:themeColor="text1"/>
          <w:kern w:val="2"/>
          <w:sz w:val="24"/>
          <w:szCs w:val="24"/>
          <w:lang w:val="en-US" w:eastAsia="zh-CN" w:bidi="ar-SA"/>
          <w14:textFill>
            <w14:solidFill>
              <w14:schemeClr w14:val="tx1"/>
            </w14:solidFill>
          </w14:textFill>
        </w:rPr>
        <w:t>3</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服务</w:t>
      </w:r>
      <w:r>
        <w:rPr>
          <w:rFonts w:hint="eastAsia" w:ascii="宋体" w:hAnsi="宋体" w:eastAsia="宋体" w:cs="宋体"/>
          <w:bCs/>
          <w:i w:val="0"/>
          <w:iCs w:val="0"/>
          <w:color w:val="auto"/>
          <w:spacing w:val="4"/>
          <w:kern w:val="2"/>
          <w:sz w:val="24"/>
          <w:szCs w:val="24"/>
          <w:highlight w:val="none"/>
          <w:lang w:val="en-US" w:eastAsia="zh-CN" w:bidi="ar-SA"/>
        </w:rPr>
        <w:t>地点：</w:t>
      </w:r>
      <w:r>
        <w:rPr>
          <w:rFonts w:hint="eastAsia" w:eastAsia="宋体" w:cs="宋体"/>
          <w:bCs/>
          <w:i w:val="0"/>
          <w:iCs w:val="0"/>
          <w:color w:val="auto"/>
          <w:spacing w:val="4"/>
          <w:kern w:val="2"/>
          <w:sz w:val="24"/>
          <w:szCs w:val="24"/>
          <w:highlight w:val="none"/>
          <w:lang w:val="en-US" w:eastAsia="zh-CN" w:bidi="ar-SA"/>
        </w:rPr>
        <w:t>上饶市城投环保建材有限公司</w:t>
      </w:r>
      <w:r>
        <w:rPr>
          <w:rFonts w:hint="eastAsia" w:ascii="宋体" w:hAnsi="宋体" w:eastAsia="宋体"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逐月结算，以实际运输量过磅后</w:t>
      </w:r>
      <w:r>
        <w:rPr>
          <w:rFonts w:hint="eastAsia" w:eastAsia="宋体" w:cs="Times New Roman"/>
          <w:color w:val="000000" w:themeColor="text1"/>
          <w:kern w:val="2"/>
          <w:sz w:val="24"/>
          <w:szCs w:val="24"/>
          <w:lang w:val="en-US" w:eastAsia="zh-CN" w:bidi="ar-SA"/>
          <w14:textFill>
            <w14:solidFill>
              <w14:schemeClr w14:val="tx1"/>
            </w14:solidFill>
          </w14:textFill>
        </w:rPr>
        <w:t>按中标单价</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据实结算。</w:t>
      </w:r>
      <w:r>
        <w:rPr>
          <w:rFonts w:hint="eastAsia" w:ascii="宋体" w:hAnsi="宋体" w:eastAsia="宋体" w:cs="宋体"/>
          <w:bCs/>
          <w:i w:val="0"/>
          <w:iCs w:val="0"/>
          <w:color w:val="auto"/>
          <w:spacing w:val="4"/>
          <w:kern w:val="2"/>
          <w:sz w:val="24"/>
          <w:szCs w:val="24"/>
          <w:highlight w:val="none"/>
          <w:lang w:val="en-US" w:eastAsia="zh-CN" w:bidi="ar-SA"/>
        </w:rPr>
        <w:t xml:space="preserve">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eastAsia="宋体" w:cs="宋体"/>
          <w:bCs/>
          <w:i w:val="0"/>
          <w:iCs w:val="0"/>
          <w:color w:val="auto"/>
          <w:spacing w:val="4"/>
          <w:kern w:val="2"/>
          <w:sz w:val="24"/>
          <w:szCs w:val="24"/>
          <w:highlight w:val="none"/>
          <w:lang w:val="en-US" w:eastAsia="zh-CN" w:bidi="ar-SA"/>
        </w:rPr>
        <w:t>9</w:t>
      </w:r>
      <w:r>
        <w:rPr>
          <w:rFonts w:hint="eastAsia" w:ascii="宋体" w:hAnsi="宋体" w:eastAsia="宋体" w:cs="宋体"/>
          <w:bCs/>
          <w:i w:val="0"/>
          <w:iCs w:val="0"/>
          <w:color w:val="auto"/>
          <w:spacing w:val="4"/>
          <w:kern w:val="2"/>
          <w:sz w:val="24"/>
          <w:szCs w:val="24"/>
          <w:highlight w:val="none"/>
          <w:lang w:val="en-US" w:eastAsia="zh-CN" w:bidi="ar-SA"/>
        </w:rPr>
        <w:t>、中标人所</w:t>
      </w:r>
      <w:r>
        <w:rPr>
          <w:rFonts w:hint="eastAsia" w:eastAsia="宋体" w:cs="宋体"/>
          <w:bCs/>
          <w:i w:val="0"/>
          <w:iCs w:val="0"/>
          <w:color w:val="auto"/>
          <w:spacing w:val="4"/>
          <w:kern w:val="2"/>
          <w:sz w:val="24"/>
          <w:szCs w:val="24"/>
          <w:highlight w:val="none"/>
          <w:lang w:val="en-US" w:eastAsia="zh-CN" w:bidi="ar-SA"/>
        </w:rPr>
        <w:t>提供</w:t>
      </w:r>
      <w:r>
        <w:rPr>
          <w:rFonts w:hint="eastAsia" w:ascii="宋体" w:hAnsi="宋体" w:eastAsia="宋体" w:cs="宋体"/>
          <w:bCs/>
          <w:i w:val="0"/>
          <w:iCs w:val="0"/>
          <w:color w:val="auto"/>
          <w:spacing w:val="4"/>
          <w:kern w:val="2"/>
          <w:sz w:val="24"/>
          <w:szCs w:val="24"/>
          <w:highlight w:val="none"/>
          <w:lang w:val="en-US" w:eastAsia="zh-CN" w:bidi="ar-SA"/>
        </w:rPr>
        <w:t>的</w:t>
      </w:r>
      <w:r>
        <w:rPr>
          <w:rFonts w:hint="eastAsia" w:eastAsia="宋体" w:cs="宋体"/>
          <w:bCs/>
          <w:i w:val="0"/>
          <w:iCs w:val="0"/>
          <w:color w:val="auto"/>
          <w:spacing w:val="4"/>
          <w:kern w:val="2"/>
          <w:sz w:val="24"/>
          <w:szCs w:val="24"/>
          <w:highlight w:val="none"/>
          <w:lang w:val="en-US" w:eastAsia="zh-CN" w:bidi="ar-SA"/>
        </w:rPr>
        <w:t>服务</w:t>
      </w:r>
      <w:r>
        <w:rPr>
          <w:rFonts w:hint="eastAsia" w:ascii="宋体" w:hAnsi="宋体" w:eastAsia="宋体" w:cs="宋体"/>
          <w:bCs/>
          <w:i w:val="0"/>
          <w:iCs w:val="0"/>
          <w:color w:val="auto"/>
          <w:spacing w:val="4"/>
          <w:kern w:val="2"/>
          <w:sz w:val="24"/>
          <w:szCs w:val="24"/>
          <w:highlight w:val="none"/>
          <w:lang w:val="en-US" w:eastAsia="zh-CN" w:bidi="ar-SA"/>
        </w:rPr>
        <w:t>不符合招标文件规定的，招标人</w:t>
      </w:r>
      <w:r>
        <w:rPr>
          <w:rFonts w:hint="eastAsia" w:eastAsia="宋体" w:cs="宋体"/>
          <w:bCs/>
          <w:i w:val="0"/>
          <w:iCs w:val="0"/>
          <w:color w:val="auto"/>
          <w:spacing w:val="4"/>
          <w:kern w:val="2"/>
          <w:sz w:val="24"/>
          <w:szCs w:val="24"/>
          <w:highlight w:val="none"/>
          <w:lang w:val="en-US" w:eastAsia="zh-CN" w:bidi="ar-SA"/>
        </w:rPr>
        <w:t>有权</w:t>
      </w:r>
      <w:r>
        <w:rPr>
          <w:rFonts w:hint="eastAsia" w:ascii="宋体" w:hAnsi="宋体" w:eastAsia="宋体" w:cs="宋体"/>
          <w:bCs/>
          <w:i w:val="0"/>
          <w:iCs w:val="0"/>
          <w:color w:val="auto"/>
          <w:spacing w:val="4"/>
          <w:kern w:val="2"/>
          <w:sz w:val="24"/>
          <w:szCs w:val="24"/>
          <w:highlight w:val="none"/>
          <w:lang w:val="en-US" w:eastAsia="zh-CN" w:bidi="ar-SA"/>
        </w:rPr>
        <w:t>罚没中标人缴纳的履约保证金</w:t>
      </w:r>
      <w:r>
        <w:rPr>
          <w:rFonts w:hint="eastAsia" w:eastAsia="宋体" w:cs="宋体"/>
          <w:bCs/>
          <w:i w:val="0"/>
          <w:iCs w:val="0"/>
          <w:color w:val="auto"/>
          <w:spacing w:val="4"/>
          <w:kern w:val="2"/>
          <w:sz w:val="24"/>
          <w:szCs w:val="24"/>
          <w:highlight w:val="none"/>
          <w:lang w:val="en-US" w:eastAsia="zh-CN" w:bidi="ar-SA"/>
        </w:rPr>
        <w:t>作为赔偿金，情节严重的</w:t>
      </w:r>
      <w:r>
        <w:rPr>
          <w:rFonts w:hint="eastAsia" w:ascii="宋体" w:hAnsi="宋体" w:eastAsia="宋体" w:cs="宋体"/>
          <w:bCs/>
          <w:i w:val="0"/>
          <w:iCs w:val="0"/>
          <w:color w:val="auto"/>
          <w:spacing w:val="4"/>
          <w:kern w:val="2"/>
          <w:sz w:val="24"/>
          <w:szCs w:val="24"/>
          <w:highlight w:val="none"/>
          <w:lang w:val="en-US" w:eastAsia="zh-CN" w:bidi="ar-SA"/>
        </w:rPr>
        <w:t>有权解除合同</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11、中标人未按照招标人规定时间正式提供服务的，每逾期1天，中标人向招标人偿付逾期服务部分总额的1%的违约金，逾期服务超过10天，招标人有权解除合同。</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6"/>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2021年度或2022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kinsoku/>
        <w:wordWrap/>
        <w:overflowPunct/>
        <w:topLinePunct w:val="0"/>
        <w:autoSpaceDE/>
        <w:autoSpaceDN/>
        <w:bidi w:val="0"/>
        <w:adjustRightInd/>
        <w:snapToGrid/>
        <w:spacing w:line="420" w:lineRule="exact"/>
        <w:ind w:firstLine="240" w:firstLineChars="100"/>
        <w:textAlignment w:val="auto"/>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2、本项目不接受联合体投标；不接受挂靠企业；【提供承诺函】。</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3、投标人需提供行政主管部门颁发有效的《道路运输经营许可证》。</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18"/>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5</w:t>
      </w:r>
      <w:r>
        <w:rPr>
          <w:rFonts w:hint="eastAsia" w:hAnsi="宋体" w:eastAsia="宋体" w:cs="宋体"/>
          <w:b/>
          <w:bCs/>
          <w:color w:val="auto"/>
          <w:highlight w:val="none"/>
          <w:lang w:val="en-US" w:eastAsia="zh-CN"/>
        </w:rPr>
        <w:t>、资格审查结果</w:t>
      </w:r>
    </w:p>
    <w:p>
      <w:pPr>
        <w:pStyle w:val="18"/>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8"/>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8"/>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9"/>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上饶市诚源招标代理有限公司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7"/>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上饶市诚源招标代理有限公司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0"/>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59264"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7216;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7"/>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val="en-US" w:eastAsia="zh-CN"/>
              </w:rPr>
              <w:t>服务</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val="en-US" w:eastAsia="zh-CN"/>
              </w:rPr>
              <w:t>服务</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服务时间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9"/>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val="en-US" w:eastAsia="zh-CN"/>
        </w:rPr>
        <w:t>服务</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val="en-US" w:eastAsia="zh-CN"/>
        </w:rPr>
        <w:t>服务</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服务</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9"/>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475960795"/>
      <w:bookmarkStart w:id="13" w:name="_Toc23224"/>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每条参数“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注：1、投标人需按此表格要求对照招标文件第三章“二、商务条款”逐条如实填写响应/偏离情况。如投标人每条参数“完全响应”招标文件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9"/>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9"/>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3"/>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920_WPSOffice_Level1"/>
      <w:bookmarkStart w:id="16"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Pr>
        <w:tabs>
          <w:tab w:val="left" w:pos="792"/>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FC96583"/>
    <w:multiLevelType w:val="singleLevel"/>
    <w:tmpl w:val="5FC96583"/>
    <w:lvl w:ilvl="0" w:tentative="0">
      <w:start w:val="1"/>
      <w:numFmt w:val="chineseCounting"/>
      <w:suff w:val="nothing"/>
      <w:lvlText w:val="%1、"/>
      <w:lvlJc w:val="left"/>
      <w:rPr>
        <w:rFonts w:hint="eastAsia"/>
      </w:rPr>
    </w:lvl>
  </w:abstractNum>
  <w:abstractNum w:abstractNumId="4">
    <w:nsid w:val="6755BFB8"/>
    <w:multiLevelType w:val="singleLevel"/>
    <w:tmpl w:val="6755BFB8"/>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3AE756BA"/>
    <w:rsid w:val="02CB37E2"/>
    <w:rsid w:val="0487603B"/>
    <w:rsid w:val="04BA6218"/>
    <w:rsid w:val="05A07DF5"/>
    <w:rsid w:val="1014374C"/>
    <w:rsid w:val="131F209C"/>
    <w:rsid w:val="132C5278"/>
    <w:rsid w:val="1C353D03"/>
    <w:rsid w:val="23B55745"/>
    <w:rsid w:val="279D3BF8"/>
    <w:rsid w:val="2C467667"/>
    <w:rsid w:val="2E3A01A4"/>
    <w:rsid w:val="30F5557F"/>
    <w:rsid w:val="32F37989"/>
    <w:rsid w:val="3A205638"/>
    <w:rsid w:val="3AE756BA"/>
    <w:rsid w:val="3AEC66D3"/>
    <w:rsid w:val="3FC448AE"/>
    <w:rsid w:val="4207155E"/>
    <w:rsid w:val="445D74A3"/>
    <w:rsid w:val="4B981FC1"/>
    <w:rsid w:val="50C06571"/>
    <w:rsid w:val="52D814B3"/>
    <w:rsid w:val="54A3024D"/>
    <w:rsid w:val="56850809"/>
    <w:rsid w:val="57E611F8"/>
    <w:rsid w:val="6C502E75"/>
    <w:rsid w:val="70766B7E"/>
    <w:rsid w:val="7120331D"/>
    <w:rsid w:val="744637FD"/>
    <w:rsid w:val="77B5596B"/>
    <w:rsid w:val="7D744783"/>
    <w:rsid w:val="7ED1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character" w:customStyle="1" w:styleId="13">
    <w:name w:val="font51"/>
    <w:basedOn w:val="10"/>
    <w:qFormat/>
    <w:uiPriority w:val="0"/>
    <w:rPr>
      <w:rFonts w:hint="eastAsia" w:ascii="宋体" w:hAnsi="宋体" w:eastAsia="宋体" w:cs="宋体"/>
      <w:color w:val="000000"/>
      <w:sz w:val="20"/>
      <w:szCs w:val="20"/>
      <w:u w:val="none"/>
    </w:rPr>
  </w:style>
  <w:style w:type="character" w:customStyle="1" w:styleId="14">
    <w:name w:val="font41"/>
    <w:basedOn w:val="10"/>
    <w:qFormat/>
    <w:uiPriority w:val="0"/>
    <w:rPr>
      <w:rFonts w:hint="eastAsia" w:ascii="微软雅黑" w:hAnsi="微软雅黑" w:eastAsia="微软雅黑" w:cs="微软雅黑"/>
      <w:color w:val="000000"/>
      <w:sz w:val="20"/>
      <w:szCs w:val="20"/>
      <w:u w:val="none"/>
    </w:rPr>
  </w:style>
  <w:style w:type="paragraph" w:customStyle="1" w:styleId="15">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7">
    <w:name w:val="标题 5（有编号）（绿盟科技）"/>
    <w:basedOn w:val="1"/>
    <w:next w:val="16"/>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纯文本1"/>
    <w:basedOn w:val="1"/>
    <w:qFormat/>
    <w:uiPriority w:val="99"/>
    <w:rPr>
      <w:rFonts w:ascii="宋体" w:hAnsi="Courier New"/>
      <w:kern w:val="0"/>
      <w:sz w:val="20"/>
    </w:rPr>
  </w:style>
  <w:style w:type="paragraph" w:styleId="20">
    <w:name w:val="List Paragraph"/>
    <w:basedOn w:val="1"/>
    <w:qFormat/>
    <w:uiPriority w:val="1"/>
    <w:pPr>
      <w:ind w:left="1303" w:firstLine="480"/>
    </w:pPr>
    <w:rPr>
      <w:rFonts w:ascii="宋体" w:hAnsi="宋体" w:cs="宋体"/>
      <w:lang w:val="zh-CN" w:bidi="zh-CN"/>
    </w:rPr>
  </w:style>
  <w:style w:type="paragraph" w:customStyle="1" w:styleId="21">
    <w:name w:val="Table Paragraph"/>
    <w:basedOn w:val="1"/>
    <w:qFormat/>
    <w:uiPriority w:val="1"/>
    <w:rPr>
      <w:rFonts w:ascii="宋体" w:hAnsi="宋体" w:cs="宋体"/>
      <w:lang w:val="zh-CN" w:bidi="zh-CN"/>
    </w:rPr>
  </w:style>
  <w:style w:type="character" w:customStyle="1" w:styleId="22">
    <w:name w:val="font21"/>
    <w:basedOn w:val="10"/>
    <w:qFormat/>
    <w:uiPriority w:val="0"/>
    <w:rPr>
      <w:rFonts w:hint="eastAsia" w:ascii="微软雅黑" w:hAnsi="微软雅黑" w:eastAsia="微软雅黑" w:cs="微软雅黑"/>
      <w:color w:val="000000"/>
      <w:sz w:val="20"/>
      <w:szCs w:val="20"/>
      <w:u w:val="none"/>
    </w:rPr>
  </w:style>
  <w:style w:type="character" w:customStyle="1" w:styleId="23">
    <w:name w:val="font31"/>
    <w:basedOn w:val="10"/>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21661</Words>
  <Characters>23289</Characters>
  <Lines>0</Lines>
  <Paragraphs>0</Paragraphs>
  <TotalTime>22</TotalTime>
  <ScaleCrop>false</ScaleCrop>
  <LinksUpToDate>false</LinksUpToDate>
  <CharactersWithSpaces>25044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2022-10-09T06:22:00Z</dcterms:created>
  <dc:creator>Dr.董</dc:creator>
  <cp:lastModifiedBy>Dr.董</cp:lastModifiedBy>
  <cp:lastPrinted>2023-02-14T03:28:00Z</cp:lastPrinted>
  <dcterms:modified xsi:type="dcterms:W3CDTF">2023-02-20T06:48:16Z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B291E46922E74D99BA44D70855DC6DD6</vt:lpwstr>
  </property>
</Properties>
</file>